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2132" w14:textId="77777777" w:rsidR="00490205" w:rsidRDefault="00490205">
      <w:pPr>
        <w:rPr>
          <w:rFonts w:ascii="Times New Roman" w:hAnsi="Times New Roman" w:cs="Times New Roman"/>
          <w:sz w:val="20"/>
          <w:szCs w:val="20"/>
        </w:rPr>
      </w:pPr>
    </w:p>
    <w:p w14:paraId="12B42133" w14:textId="77777777" w:rsidR="00490205" w:rsidRPr="00A4410A" w:rsidRDefault="00490205">
      <w:pPr>
        <w:rPr>
          <w:rFonts w:ascii="Times New Roman" w:hAnsi="Times New Roman" w:cs="Times New Roman"/>
          <w:sz w:val="20"/>
          <w:szCs w:val="20"/>
        </w:rPr>
      </w:pPr>
      <w:r w:rsidRPr="00A4410A">
        <w:rPr>
          <w:rFonts w:ascii="Times New Roman" w:hAnsi="Times New Roman" w:cs="Times New Roman"/>
          <w:sz w:val="20"/>
          <w:szCs w:val="20"/>
        </w:rPr>
        <w:t>For terms and conditions applicable to these charges see Schedule 143.</w:t>
      </w:r>
    </w:p>
    <w:p w14:paraId="12B42134" w14:textId="77777777" w:rsidR="00490205" w:rsidRPr="00A4410A" w:rsidRDefault="00490205">
      <w:pPr>
        <w:rPr>
          <w:rFonts w:ascii="Times New Roman" w:hAnsi="Times New Roman" w:cs="Times New Roman"/>
          <w:sz w:val="20"/>
          <w:szCs w:val="20"/>
        </w:rPr>
      </w:pPr>
    </w:p>
    <w:p w14:paraId="12B42135" w14:textId="77777777" w:rsidR="005C76FC" w:rsidRDefault="005C76FC">
      <w:pPr>
        <w:rPr>
          <w:rFonts w:ascii="Times New Roman" w:hAnsi="Times New Roman" w:cs="Times New Roman"/>
          <w:b/>
          <w:bCs/>
          <w:sz w:val="20"/>
          <w:szCs w:val="20"/>
        </w:rPr>
      </w:pPr>
      <w:r w:rsidRPr="00A4410A">
        <w:rPr>
          <w:rFonts w:ascii="Times New Roman" w:hAnsi="Times New Roman" w:cs="Times New Roman"/>
          <w:b/>
          <w:bCs/>
          <w:sz w:val="20"/>
          <w:szCs w:val="20"/>
        </w:rPr>
        <w:t>7.01.2.1 CPS Call Conveyance (including Operator Assistance and Intermediary Services)</w:t>
      </w:r>
    </w:p>
    <w:p w14:paraId="12B42136" w14:textId="77777777" w:rsidR="00CA4589" w:rsidRDefault="00CA4589">
      <w:pPr>
        <w:rPr>
          <w:rFonts w:ascii="Times New Roman" w:hAnsi="Times New Roman" w:cs="Times New Roman"/>
          <w:b/>
          <w:bCs/>
          <w:sz w:val="20"/>
          <w:szCs w:val="20"/>
        </w:rPr>
      </w:pPr>
    </w:p>
    <w:p w14:paraId="12B42137" w14:textId="77777777" w:rsidR="00490205" w:rsidRPr="00A4410A" w:rsidRDefault="00490205">
      <w:pPr>
        <w:jc w:val="both"/>
        <w:rPr>
          <w:rFonts w:ascii="Times New Roman" w:hAnsi="Times New Roman" w:cs="Times New Roman"/>
          <w:sz w:val="20"/>
          <w:szCs w:val="20"/>
        </w:rPr>
      </w:pPr>
    </w:p>
    <w:tbl>
      <w:tblPr>
        <w:tblW w:w="15054" w:type="dxa"/>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73"/>
        <w:gridCol w:w="3053"/>
        <w:gridCol w:w="1134"/>
        <w:gridCol w:w="1134"/>
        <w:gridCol w:w="1134"/>
        <w:gridCol w:w="1276"/>
        <w:gridCol w:w="1250"/>
        <w:gridCol w:w="1250"/>
        <w:gridCol w:w="1250"/>
        <w:gridCol w:w="1250"/>
        <w:gridCol w:w="1250"/>
      </w:tblGrid>
      <w:tr w:rsidR="00C97511" w:rsidRPr="00A4410A" w14:paraId="12B42143" w14:textId="77777777" w:rsidTr="00C97511">
        <w:trPr>
          <w:trHeight w:val="510"/>
        </w:trPr>
        <w:tc>
          <w:tcPr>
            <w:tcW w:w="1073" w:type="dxa"/>
            <w:tcBorders>
              <w:top w:val="single" w:sz="12" w:space="0" w:color="auto"/>
            </w:tcBorders>
            <w:shd w:val="clear" w:color="auto" w:fill="auto"/>
          </w:tcPr>
          <w:p w14:paraId="12B42138" w14:textId="77777777" w:rsidR="00C97511" w:rsidRPr="00A4410A" w:rsidRDefault="00C97511" w:rsidP="0097080E">
            <w:pPr>
              <w:jc w:val="center"/>
              <w:rPr>
                <w:b/>
                <w:bCs/>
                <w:sz w:val="18"/>
                <w:szCs w:val="18"/>
              </w:rPr>
            </w:pPr>
            <w:r w:rsidRPr="00A4410A">
              <w:rPr>
                <w:b/>
                <w:bCs/>
                <w:sz w:val="18"/>
                <w:szCs w:val="18"/>
              </w:rPr>
              <w:t>Operator</w:t>
            </w:r>
          </w:p>
        </w:tc>
        <w:tc>
          <w:tcPr>
            <w:tcW w:w="3053" w:type="dxa"/>
            <w:tcBorders>
              <w:top w:val="single" w:sz="12" w:space="0" w:color="auto"/>
            </w:tcBorders>
            <w:shd w:val="clear" w:color="auto" w:fill="auto"/>
            <w:noWrap/>
          </w:tcPr>
          <w:p w14:paraId="12B42139" w14:textId="77777777" w:rsidR="00C97511" w:rsidRPr="00A4410A" w:rsidRDefault="00C97511" w:rsidP="0097080E">
            <w:pPr>
              <w:jc w:val="center"/>
              <w:rPr>
                <w:b/>
                <w:bCs/>
                <w:sz w:val="18"/>
                <w:szCs w:val="18"/>
              </w:rPr>
            </w:pPr>
            <w:r w:rsidRPr="00A4410A">
              <w:rPr>
                <w:b/>
                <w:bCs/>
                <w:sz w:val="18"/>
                <w:szCs w:val="18"/>
              </w:rPr>
              <w:t>Description</w:t>
            </w:r>
          </w:p>
        </w:tc>
        <w:tc>
          <w:tcPr>
            <w:tcW w:w="1134" w:type="dxa"/>
            <w:tcBorders>
              <w:top w:val="single" w:sz="12" w:space="0" w:color="auto"/>
            </w:tcBorders>
            <w:shd w:val="clear" w:color="auto" w:fill="auto"/>
          </w:tcPr>
          <w:p w14:paraId="12B4213A" w14:textId="77777777" w:rsidR="00C97511" w:rsidRPr="00A4410A" w:rsidRDefault="00C97511" w:rsidP="0097080E">
            <w:pPr>
              <w:jc w:val="center"/>
              <w:rPr>
                <w:b/>
                <w:bCs/>
                <w:sz w:val="18"/>
                <w:szCs w:val="18"/>
              </w:rPr>
            </w:pPr>
            <w:r w:rsidRPr="00A4410A">
              <w:rPr>
                <w:b/>
                <w:bCs/>
                <w:sz w:val="18"/>
                <w:szCs w:val="18"/>
              </w:rPr>
              <w:t>Effective Date</w:t>
            </w:r>
          </w:p>
        </w:tc>
        <w:tc>
          <w:tcPr>
            <w:tcW w:w="1134" w:type="dxa"/>
            <w:tcBorders>
              <w:top w:val="single" w:sz="12" w:space="0" w:color="auto"/>
            </w:tcBorders>
            <w:shd w:val="clear" w:color="auto" w:fill="auto"/>
            <w:noWrap/>
          </w:tcPr>
          <w:p w14:paraId="12B4213B" w14:textId="77777777" w:rsidR="00C97511" w:rsidRPr="00A4410A" w:rsidRDefault="00C97511" w:rsidP="0097080E">
            <w:pPr>
              <w:jc w:val="center"/>
              <w:rPr>
                <w:b/>
                <w:bCs/>
                <w:sz w:val="18"/>
                <w:szCs w:val="18"/>
              </w:rPr>
            </w:pPr>
            <w:r w:rsidRPr="00A4410A">
              <w:rPr>
                <w:b/>
                <w:bCs/>
                <w:sz w:val="18"/>
                <w:szCs w:val="18"/>
              </w:rPr>
              <w:t>Until</w:t>
            </w:r>
          </w:p>
        </w:tc>
        <w:tc>
          <w:tcPr>
            <w:tcW w:w="1134" w:type="dxa"/>
            <w:tcBorders>
              <w:top w:val="single" w:sz="12" w:space="0" w:color="auto"/>
            </w:tcBorders>
            <w:shd w:val="clear" w:color="auto" w:fill="auto"/>
            <w:noWrap/>
          </w:tcPr>
          <w:p w14:paraId="12B4213C" w14:textId="77777777" w:rsidR="00C97511" w:rsidRPr="00A4410A" w:rsidRDefault="00C97511" w:rsidP="0097080E">
            <w:pPr>
              <w:jc w:val="center"/>
              <w:rPr>
                <w:b/>
                <w:bCs/>
                <w:sz w:val="18"/>
                <w:szCs w:val="18"/>
              </w:rPr>
            </w:pPr>
            <w:r w:rsidRPr="00A4410A">
              <w:rPr>
                <w:b/>
                <w:bCs/>
                <w:sz w:val="18"/>
                <w:szCs w:val="18"/>
              </w:rPr>
              <w:t>Daytime (ppm)</w:t>
            </w:r>
          </w:p>
        </w:tc>
        <w:tc>
          <w:tcPr>
            <w:tcW w:w="1276" w:type="dxa"/>
            <w:tcBorders>
              <w:top w:val="single" w:sz="12" w:space="0" w:color="auto"/>
            </w:tcBorders>
            <w:shd w:val="clear" w:color="auto" w:fill="auto"/>
            <w:noWrap/>
          </w:tcPr>
          <w:p w14:paraId="12B4213D" w14:textId="77777777" w:rsidR="00C97511" w:rsidRPr="00A4410A" w:rsidRDefault="00C97511" w:rsidP="0097080E">
            <w:pPr>
              <w:jc w:val="center"/>
              <w:rPr>
                <w:b/>
                <w:bCs/>
                <w:sz w:val="18"/>
                <w:szCs w:val="18"/>
              </w:rPr>
            </w:pPr>
            <w:r w:rsidRPr="00A4410A">
              <w:rPr>
                <w:b/>
                <w:bCs/>
                <w:sz w:val="18"/>
                <w:szCs w:val="18"/>
              </w:rPr>
              <w:t>Evening (ppm)</w:t>
            </w:r>
          </w:p>
        </w:tc>
        <w:tc>
          <w:tcPr>
            <w:tcW w:w="1250" w:type="dxa"/>
            <w:tcBorders>
              <w:top w:val="single" w:sz="12" w:space="0" w:color="auto"/>
            </w:tcBorders>
            <w:shd w:val="clear" w:color="auto" w:fill="auto"/>
          </w:tcPr>
          <w:p w14:paraId="12B4213E" w14:textId="77777777" w:rsidR="00C97511" w:rsidRPr="00A4410A" w:rsidRDefault="00C97511" w:rsidP="0097080E">
            <w:pPr>
              <w:jc w:val="center"/>
              <w:rPr>
                <w:b/>
                <w:bCs/>
                <w:sz w:val="18"/>
                <w:szCs w:val="18"/>
              </w:rPr>
            </w:pPr>
            <w:r w:rsidRPr="00A4410A">
              <w:rPr>
                <w:b/>
                <w:bCs/>
                <w:sz w:val="18"/>
                <w:szCs w:val="18"/>
              </w:rPr>
              <w:t>Weekend (ppm)</w:t>
            </w:r>
          </w:p>
        </w:tc>
        <w:tc>
          <w:tcPr>
            <w:tcW w:w="1250" w:type="dxa"/>
            <w:tcBorders>
              <w:top w:val="single" w:sz="12" w:space="0" w:color="auto"/>
            </w:tcBorders>
            <w:shd w:val="clear" w:color="auto" w:fill="auto"/>
          </w:tcPr>
          <w:p w14:paraId="12B4213F" w14:textId="77777777" w:rsidR="00C97511" w:rsidRPr="00A4410A" w:rsidRDefault="00C97511" w:rsidP="000100EF">
            <w:pPr>
              <w:jc w:val="center"/>
              <w:rPr>
                <w:b/>
                <w:bCs/>
                <w:sz w:val="18"/>
                <w:szCs w:val="18"/>
              </w:rPr>
            </w:pPr>
            <w:r w:rsidRPr="00A4410A">
              <w:rPr>
                <w:b/>
                <w:bCs/>
                <w:sz w:val="18"/>
                <w:szCs w:val="18"/>
              </w:rPr>
              <w:t>Daytime (ppc)</w:t>
            </w:r>
          </w:p>
        </w:tc>
        <w:tc>
          <w:tcPr>
            <w:tcW w:w="1250" w:type="dxa"/>
            <w:tcBorders>
              <w:top w:val="single" w:sz="12" w:space="0" w:color="auto"/>
            </w:tcBorders>
            <w:shd w:val="clear" w:color="auto" w:fill="auto"/>
          </w:tcPr>
          <w:p w14:paraId="12B42140" w14:textId="77777777" w:rsidR="00C97511" w:rsidRPr="00A4410A" w:rsidRDefault="00C97511" w:rsidP="000100EF">
            <w:pPr>
              <w:jc w:val="center"/>
              <w:rPr>
                <w:b/>
                <w:bCs/>
                <w:sz w:val="18"/>
                <w:szCs w:val="18"/>
              </w:rPr>
            </w:pPr>
            <w:r w:rsidRPr="00A4410A">
              <w:rPr>
                <w:b/>
                <w:bCs/>
                <w:sz w:val="18"/>
                <w:szCs w:val="18"/>
              </w:rPr>
              <w:t>Evening (ppc)</w:t>
            </w:r>
          </w:p>
        </w:tc>
        <w:tc>
          <w:tcPr>
            <w:tcW w:w="1250" w:type="dxa"/>
            <w:tcBorders>
              <w:top w:val="single" w:sz="12" w:space="0" w:color="auto"/>
            </w:tcBorders>
          </w:tcPr>
          <w:p w14:paraId="12B42141" w14:textId="77777777" w:rsidR="00C97511" w:rsidRPr="00A4410A" w:rsidRDefault="00C97511" w:rsidP="000100EF">
            <w:pPr>
              <w:jc w:val="center"/>
              <w:rPr>
                <w:b/>
                <w:bCs/>
                <w:sz w:val="18"/>
                <w:szCs w:val="18"/>
              </w:rPr>
            </w:pPr>
            <w:r w:rsidRPr="00A4410A">
              <w:rPr>
                <w:b/>
                <w:bCs/>
                <w:sz w:val="18"/>
                <w:szCs w:val="18"/>
              </w:rPr>
              <w:t>Weekend (ppc)</w:t>
            </w:r>
          </w:p>
        </w:tc>
        <w:tc>
          <w:tcPr>
            <w:tcW w:w="1250" w:type="dxa"/>
            <w:tcBorders>
              <w:top w:val="single" w:sz="12" w:space="0" w:color="auto"/>
            </w:tcBorders>
            <w:shd w:val="clear" w:color="auto" w:fill="auto"/>
            <w:noWrap/>
          </w:tcPr>
          <w:p w14:paraId="12B42142" w14:textId="77777777" w:rsidR="00C97511" w:rsidRPr="00A4410A" w:rsidRDefault="00C97511" w:rsidP="000100EF">
            <w:pPr>
              <w:jc w:val="center"/>
              <w:rPr>
                <w:b/>
                <w:bCs/>
                <w:sz w:val="18"/>
                <w:szCs w:val="18"/>
              </w:rPr>
            </w:pPr>
            <w:r w:rsidRPr="00A4410A">
              <w:rPr>
                <w:b/>
                <w:bCs/>
                <w:sz w:val="18"/>
                <w:szCs w:val="18"/>
              </w:rPr>
              <w:t>Notes</w:t>
            </w:r>
          </w:p>
        </w:tc>
      </w:tr>
      <w:tr w:rsidR="000E2E1E" w:rsidRPr="00A4410A" w14:paraId="1779EBEB" w14:textId="77777777" w:rsidTr="00E00BEE">
        <w:trPr>
          <w:trHeight w:val="270"/>
        </w:trPr>
        <w:tc>
          <w:tcPr>
            <w:tcW w:w="1073" w:type="dxa"/>
            <w:shd w:val="clear" w:color="auto" w:fill="auto"/>
          </w:tcPr>
          <w:p w14:paraId="0E2CF180" w14:textId="0CFB99F0" w:rsidR="000E2E1E" w:rsidRPr="00A4410A" w:rsidRDefault="000E2E1E" w:rsidP="000E2E1E">
            <w:pPr>
              <w:jc w:val="center"/>
              <w:rPr>
                <w:sz w:val="18"/>
                <w:szCs w:val="18"/>
              </w:rPr>
            </w:pPr>
            <w:r w:rsidRPr="00A4410A">
              <w:rPr>
                <w:sz w:val="18"/>
                <w:szCs w:val="18"/>
              </w:rPr>
              <w:t>All Operators</w:t>
            </w:r>
          </w:p>
        </w:tc>
        <w:tc>
          <w:tcPr>
            <w:tcW w:w="3053" w:type="dxa"/>
            <w:shd w:val="clear" w:color="auto" w:fill="auto"/>
            <w:noWrap/>
          </w:tcPr>
          <w:p w14:paraId="6D396AB4" w14:textId="2B4D54DF" w:rsidR="000E2E1E" w:rsidRPr="00A4410A" w:rsidRDefault="000E2E1E" w:rsidP="000E2E1E">
            <w:pPr>
              <w:jc w:val="center"/>
              <w:rPr>
                <w:sz w:val="18"/>
                <w:szCs w:val="18"/>
              </w:rPr>
            </w:pPr>
            <w:r w:rsidRPr="00A4410A">
              <w:rPr>
                <w:sz w:val="18"/>
                <w:szCs w:val="18"/>
              </w:rPr>
              <w:t>BT Local Exchange CPS Call Conveyance</w:t>
            </w:r>
          </w:p>
        </w:tc>
        <w:tc>
          <w:tcPr>
            <w:tcW w:w="1134" w:type="dxa"/>
            <w:tcBorders>
              <w:top w:val="single" w:sz="4" w:space="0" w:color="auto"/>
              <w:bottom w:val="single" w:sz="4" w:space="0" w:color="auto"/>
            </w:tcBorders>
            <w:shd w:val="clear" w:color="auto" w:fill="auto"/>
            <w:noWrap/>
          </w:tcPr>
          <w:p w14:paraId="4EBF65DD" w14:textId="4EEDE0C2" w:rsidR="000E2E1E" w:rsidRDefault="000E2E1E" w:rsidP="000E2E1E">
            <w:pPr>
              <w:jc w:val="center"/>
              <w:rPr>
                <w:sz w:val="18"/>
                <w:szCs w:val="18"/>
              </w:rPr>
            </w:pPr>
            <w:r>
              <w:rPr>
                <w:sz w:val="18"/>
                <w:szCs w:val="18"/>
              </w:rPr>
              <w:t>01/04/2023</w:t>
            </w:r>
          </w:p>
        </w:tc>
        <w:tc>
          <w:tcPr>
            <w:tcW w:w="1134" w:type="dxa"/>
            <w:noWrap/>
          </w:tcPr>
          <w:p w14:paraId="1FB3AD79" w14:textId="689ED8C5" w:rsidR="000E2E1E" w:rsidRPr="00A4410A" w:rsidRDefault="0084195B" w:rsidP="000E2E1E">
            <w:pPr>
              <w:jc w:val="center"/>
              <w:rPr>
                <w:sz w:val="18"/>
                <w:szCs w:val="18"/>
              </w:rPr>
            </w:pPr>
            <w:r>
              <w:rPr>
                <w:sz w:val="18"/>
                <w:szCs w:val="18"/>
              </w:rPr>
              <w:t>30/0</w:t>
            </w:r>
            <w:r w:rsidR="00923062">
              <w:rPr>
                <w:sz w:val="18"/>
                <w:szCs w:val="18"/>
              </w:rPr>
              <w:t>9</w:t>
            </w:r>
            <w:r>
              <w:rPr>
                <w:sz w:val="18"/>
                <w:szCs w:val="18"/>
              </w:rPr>
              <w:t>/2023</w:t>
            </w:r>
          </w:p>
        </w:tc>
        <w:tc>
          <w:tcPr>
            <w:tcW w:w="1134" w:type="dxa"/>
            <w:noWrap/>
          </w:tcPr>
          <w:p w14:paraId="6ABD21D5" w14:textId="77777777" w:rsidR="000E2E1E" w:rsidRPr="00665168" w:rsidRDefault="000E2E1E" w:rsidP="000E2E1E">
            <w:pPr>
              <w:jc w:val="center"/>
              <w:rPr>
                <w:sz w:val="18"/>
                <w:szCs w:val="18"/>
                <w:lang w:val="en-GB"/>
              </w:rPr>
            </w:pPr>
            <w:r w:rsidRPr="00665168">
              <w:rPr>
                <w:sz w:val="18"/>
                <w:szCs w:val="18"/>
              </w:rPr>
              <w:t>0.5720</w:t>
            </w:r>
          </w:p>
          <w:p w14:paraId="4B12BACC" w14:textId="77777777" w:rsidR="000E2E1E" w:rsidRPr="00CA448E" w:rsidRDefault="000E2E1E" w:rsidP="000E2E1E">
            <w:pPr>
              <w:jc w:val="center"/>
              <w:rPr>
                <w:sz w:val="18"/>
                <w:szCs w:val="18"/>
              </w:rPr>
            </w:pPr>
          </w:p>
        </w:tc>
        <w:tc>
          <w:tcPr>
            <w:tcW w:w="1276" w:type="dxa"/>
            <w:noWrap/>
          </w:tcPr>
          <w:p w14:paraId="2894F4A9" w14:textId="74C7DAA4" w:rsidR="000E2E1E" w:rsidRPr="00CA448E" w:rsidRDefault="000E2E1E" w:rsidP="000E2E1E">
            <w:pPr>
              <w:jc w:val="center"/>
              <w:rPr>
                <w:sz w:val="18"/>
                <w:szCs w:val="18"/>
              </w:rPr>
            </w:pPr>
            <w:r w:rsidRPr="000A2CBB">
              <w:rPr>
                <w:sz w:val="18"/>
                <w:szCs w:val="18"/>
              </w:rPr>
              <w:t>0.5720</w:t>
            </w:r>
          </w:p>
        </w:tc>
        <w:tc>
          <w:tcPr>
            <w:tcW w:w="1250" w:type="dxa"/>
          </w:tcPr>
          <w:p w14:paraId="757AB4FC" w14:textId="321BC5DB" w:rsidR="000E2E1E" w:rsidRPr="00CA448E" w:rsidRDefault="000E2E1E" w:rsidP="000E2E1E">
            <w:pPr>
              <w:jc w:val="center"/>
              <w:rPr>
                <w:sz w:val="18"/>
                <w:szCs w:val="18"/>
              </w:rPr>
            </w:pPr>
            <w:r w:rsidRPr="000A2CBB">
              <w:rPr>
                <w:sz w:val="18"/>
                <w:szCs w:val="18"/>
              </w:rPr>
              <w:t>0.5720</w:t>
            </w:r>
          </w:p>
        </w:tc>
        <w:tc>
          <w:tcPr>
            <w:tcW w:w="1250" w:type="dxa"/>
            <w:shd w:val="clear" w:color="auto" w:fill="auto"/>
          </w:tcPr>
          <w:p w14:paraId="2FA3106D" w14:textId="77777777" w:rsidR="000E2E1E" w:rsidRPr="000E2E1E" w:rsidRDefault="000E2E1E" w:rsidP="000E2E1E">
            <w:pPr>
              <w:jc w:val="center"/>
              <w:rPr>
                <w:sz w:val="18"/>
                <w:szCs w:val="18"/>
                <w:lang w:val="en-GB"/>
              </w:rPr>
            </w:pPr>
            <w:r w:rsidRPr="000E2E1E">
              <w:rPr>
                <w:sz w:val="18"/>
                <w:szCs w:val="18"/>
              </w:rPr>
              <w:t>0.1996</w:t>
            </w:r>
          </w:p>
          <w:p w14:paraId="7F7E0D39" w14:textId="77777777" w:rsidR="000E2E1E" w:rsidRPr="00430680" w:rsidRDefault="000E2E1E" w:rsidP="000E2E1E">
            <w:pPr>
              <w:jc w:val="center"/>
              <w:rPr>
                <w:sz w:val="18"/>
                <w:szCs w:val="18"/>
              </w:rPr>
            </w:pPr>
          </w:p>
        </w:tc>
        <w:tc>
          <w:tcPr>
            <w:tcW w:w="1250" w:type="dxa"/>
            <w:shd w:val="clear" w:color="auto" w:fill="auto"/>
          </w:tcPr>
          <w:p w14:paraId="21CE3048" w14:textId="11D06379" w:rsidR="000E2E1E" w:rsidRPr="00430680" w:rsidRDefault="000E2E1E" w:rsidP="000E2E1E">
            <w:pPr>
              <w:jc w:val="center"/>
              <w:rPr>
                <w:sz w:val="18"/>
                <w:szCs w:val="18"/>
              </w:rPr>
            </w:pPr>
            <w:r w:rsidRPr="00E7694B">
              <w:rPr>
                <w:sz w:val="18"/>
                <w:szCs w:val="18"/>
              </w:rPr>
              <w:t>0.1996</w:t>
            </w:r>
          </w:p>
        </w:tc>
        <w:tc>
          <w:tcPr>
            <w:tcW w:w="1250" w:type="dxa"/>
            <w:shd w:val="clear" w:color="auto" w:fill="auto"/>
          </w:tcPr>
          <w:p w14:paraId="7E1EF545" w14:textId="0284D56E" w:rsidR="000E2E1E" w:rsidRPr="00430680" w:rsidRDefault="000E2E1E" w:rsidP="000E2E1E">
            <w:pPr>
              <w:jc w:val="center"/>
              <w:rPr>
                <w:sz w:val="18"/>
                <w:szCs w:val="18"/>
              </w:rPr>
            </w:pPr>
            <w:r w:rsidRPr="00E7694B">
              <w:rPr>
                <w:sz w:val="18"/>
                <w:szCs w:val="18"/>
              </w:rPr>
              <w:t>0.1996</w:t>
            </w:r>
          </w:p>
        </w:tc>
        <w:tc>
          <w:tcPr>
            <w:tcW w:w="1250" w:type="dxa"/>
            <w:noWrap/>
          </w:tcPr>
          <w:p w14:paraId="04B46456" w14:textId="7A76FBC2" w:rsidR="000E2E1E" w:rsidRDefault="000E2E1E" w:rsidP="000E2E1E">
            <w:pPr>
              <w:jc w:val="center"/>
              <w:rPr>
                <w:sz w:val="18"/>
                <w:szCs w:val="18"/>
              </w:rPr>
            </w:pPr>
            <w:r w:rsidRPr="005C46F5">
              <w:rPr>
                <w:sz w:val="18"/>
                <w:szCs w:val="18"/>
              </w:rPr>
              <w:t>8</w:t>
            </w:r>
          </w:p>
        </w:tc>
      </w:tr>
      <w:tr w:rsidR="00E00BEE" w:rsidRPr="00A4410A" w14:paraId="0EEB01AF" w14:textId="77777777" w:rsidTr="00000A1D">
        <w:trPr>
          <w:trHeight w:val="270"/>
        </w:trPr>
        <w:tc>
          <w:tcPr>
            <w:tcW w:w="1073" w:type="dxa"/>
            <w:tcBorders>
              <w:bottom w:val="single" w:sz="12" w:space="0" w:color="auto"/>
            </w:tcBorders>
            <w:shd w:val="clear" w:color="auto" w:fill="auto"/>
          </w:tcPr>
          <w:p w14:paraId="0711C8A0" w14:textId="1B92F6EC" w:rsidR="00E00BEE" w:rsidRPr="00A4410A" w:rsidRDefault="00E00BEE" w:rsidP="00E00BEE">
            <w:pPr>
              <w:jc w:val="center"/>
              <w:rPr>
                <w:sz w:val="18"/>
                <w:szCs w:val="18"/>
              </w:rPr>
            </w:pPr>
            <w:r w:rsidRPr="00A4410A">
              <w:rPr>
                <w:sz w:val="18"/>
                <w:szCs w:val="18"/>
              </w:rPr>
              <w:t>All Operators</w:t>
            </w:r>
          </w:p>
        </w:tc>
        <w:tc>
          <w:tcPr>
            <w:tcW w:w="3053" w:type="dxa"/>
            <w:tcBorders>
              <w:bottom w:val="single" w:sz="12" w:space="0" w:color="auto"/>
            </w:tcBorders>
            <w:shd w:val="clear" w:color="auto" w:fill="auto"/>
            <w:noWrap/>
          </w:tcPr>
          <w:p w14:paraId="504A4710" w14:textId="70178B3B" w:rsidR="00E00BEE" w:rsidRPr="00A4410A" w:rsidRDefault="00E00BEE" w:rsidP="00E00BEE">
            <w:pPr>
              <w:jc w:val="center"/>
              <w:rPr>
                <w:sz w:val="18"/>
                <w:szCs w:val="18"/>
              </w:rPr>
            </w:pPr>
            <w:r w:rsidRPr="00A4410A">
              <w:rPr>
                <w:sz w:val="18"/>
                <w:szCs w:val="18"/>
              </w:rPr>
              <w:t>BT Local Exchange CPS Call Conveyance</w:t>
            </w:r>
          </w:p>
        </w:tc>
        <w:tc>
          <w:tcPr>
            <w:tcW w:w="1134" w:type="dxa"/>
            <w:tcBorders>
              <w:top w:val="single" w:sz="4" w:space="0" w:color="auto"/>
              <w:bottom w:val="single" w:sz="12" w:space="0" w:color="auto"/>
            </w:tcBorders>
            <w:shd w:val="clear" w:color="auto" w:fill="auto"/>
            <w:noWrap/>
          </w:tcPr>
          <w:p w14:paraId="4C951FB5" w14:textId="77BDA2A5" w:rsidR="00E00BEE" w:rsidRDefault="00E00BEE" w:rsidP="00E00BEE">
            <w:pPr>
              <w:jc w:val="center"/>
              <w:rPr>
                <w:sz w:val="18"/>
                <w:szCs w:val="18"/>
              </w:rPr>
            </w:pPr>
            <w:r>
              <w:rPr>
                <w:sz w:val="18"/>
                <w:szCs w:val="18"/>
              </w:rPr>
              <w:t>01/10/2023</w:t>
            </w:r>
          </w:p>
        </w:tc>
        <w:tc>
          <w:tcPr>
            <w:tcW w:w="1134" w:type="dxa"/>
            <w:noWrap/>
          </w:tcPr>
          <w:p w14:paraId="0FEE3601" w14:textId="77777777" w:rsidR="00E00BEE" w:rsidRPr="00A4410A" w:rsidRDefault="00E00BEE" w:rsidP="00E00BEE">
            <w:pPr>
              <w:jc w:val="center"/>
              <w:rPr>
                <w:sz w:val="18"/>
                <w:szCs w:val="18"/>
              </w:rPr>
            </w:pPr>
          </w:p>
        </w:tc>
        <w:tc>
          <w:tcPr>
            <w:tcW w:w="1134" w:type="dxa"/>
            <w:noWrap/>
          </w:tcPr>
          <w:p w14:paraId="409A7046" w14:textId="73FA6398" w:rsidR="00E00BEE" w:rsidRPr="00665168" w:rsidRDefault="009C3844" w:rsidP="00E00BEE">
            <w:pPr>
              <w:jc w:val="center"/>
              <w:rPr>
                <w:sz w:val="18"/>
                <w:szCs w:val="18"/>
              </w:rPr>
            </w:pPr>
            <w:r w:rsidRPr="009C3844">
              <w:rPr>
                <w:sz w:val="18"/>
                <w:szCs w:val="18"/>
              </w:rPr>
              <w:t>0.5914</w:t>
            </w:r>
          </w:p>
        </w:tc>
        <w:tc>
          <w:tcPr>
            <w:tcW w:w="1276" w:type="dxa"/>
            <w:noWrap/>
          </w:tcPr>
          <w:p w14:paraId="7FD1F1D6" w14:textId="1ABF7945" w:rsidR="00E00BEE" w:rsidRPr="000A2CBB" w:rsidRDefault="009C3844" w:rsidP="00E00BEE">
            <w:pPr>
              <w:jc w:val="center"/>
              <w:rPr>
                <w:sz w:val="18"/>
                <w:szCs w:val="18"/>
              </w:rPr>
            </w:pPr>
            <w:r w:rsidRPr="009C3844">
              <w:rPr>
                <w:sz w:val="18"/>
                <w:szCs w:val="18"/>
              </w:rPr>
              <w:t>0.5914</w:t>
            </w:r>
          </w:p>
        </w:tc>
        <w:tc>
          <w:tcPr>
            <w:tcW w:w="1250" w:type="dxa"/>
          </w:tcPr>
          <w:p w14:paraId="343798BA" w14:textId="75CC549D" w:rsidR="00E00BEE" w:rsidRPr="000A2CBB" w:rsidRDefault="009C3844" w:rsidP="00E00BEE">
            <w:pPr>
              <w:jc w:val="center"/>
              <w:rPr>
                <w:sz w:val="18"/>
                <w:szCs w:val="18"/>
              </w:rPr>
            </w:pPr>
            <w:r w:rsidRPr="009C3844">
              <w:rPr>
                <w:sz w:val="18"/>
                <w:szCs w:val="18"/>
              </w:rPr>
              <w:t>0.5914</w:t>
            </w:r>
          </w:p>
        </w:tc>
        <w:tc>
          <w:tcPr>
            <w:tcW w:w="1250" w:type="dxa"/>
            <w:shd w:val="clear" w:color="auto" w:fill="auto"/>
          </w:tcPr>
          <w:p w14:paraId="53EAE652" w14:textId="114ED877" w:rsidR="00E00BEE" w:rsidRPr="000E2E1E" w:rsidRDefault="008B34DA" w:rsidP="00E00BEE">
            <w:pPr>
              <w:jc w:val="center"/>
              <w:rPr>
                <w:sz w:val="18"/>
                <w:szCs w:val="18"/>
              </w:rPr>
            </w:pPr>
            <w:r w:rsidRPr="008B34DA">
              <w:rPr>
                <w:sz w:val="18"/>
                <w:szCs w:val="18"/>
              </w:rPr>
              <w:t>0.2064</w:t>
            </w:r>
          </w:p>
        </w:tc>
        <w:tc>
          <w:tcPr>
            <w:tcW w:w="1250" w:type="dxa"/>
            <w:shd w:val="clear" w:color="auto" w:fill="auto"/>
          </w:tcPr>
          <w:p w14:paraId="7592ADF4" w14:textId="1E886553" w:rsidR="00E00BEE" w:rsidRPr="00E7694B" w:rsidRDefault="00E11CFA" w:rsidP="00E00BEE">
            <w:pPr>
              <w:jc w:val="center"/>
              <w:rPr>
                <w:sz w:val="18"/>
                <w:szCs w:val="18"/>
              </w:rPr>
            </w:pPr>
            <w:r w:rsidRPr="00E11CFA">
              <w:rPr>
                <w:sz w:val="18"/>
                <w:szCs w:val="18"/>
              </w:rPr>
              <w:t>0.2064</w:t>
            </w:r>
          </w:p>
        </w:tc>
        <w:tc>
          <w:tcPr>
            <w:tcW w:w="1250" w:type="dxa"/>
            <w:shd w:val="clear" w:color="auto" w:fill="auto"/>
          </w:tcPr>
          <w:p w14:paraId="17286580" w14:textId="4729F994" w:rsidR="00E00BEE" w:rsidRPr="00E7694B" w:rsidRDefault="00E11CFA" w:rsidP="00E00BEE">
            <w:pPr>
              <w:jc w:val="center"/>
              <w:rPr>
                <w:sz w:val="18"/>
                <w:szCs w:val="18"/>
              </w:rPr>
            </w:pPr>
            <w:r w:rsidRPr="00E11CFA">
              <w:rPr>
                <w:sz w:val="18"/>
                <w:szCs w:val="18"/>
              </w:rPr>
              <w:t>0.2064</w:t>
            </w:r>
          </w:p>
        </w:tc>
        <w:tc>
          <w:tcPr>
            <w:tcW w:w="1250" w:type="dxa"/>
            <w:noWrap/>
          </w:tcPr>
          <w:p w14:paraId="03CA9CB8" w14:textId="41B99F98" w:rsidR="00E00BEE" w:rsidRPr="005C46F5" w:rsidRDefault="0084195B" w:rsidP="00E00BEE">
            <w:pPr>
              <w:jc w:val="center"/>
              <w:rPr>
                <w:sz w:val="18"/>
                <w:szCs w:val="18"/>
              </w:rPr>
            </w:pPr>
            <w:r w:rsidRPr="005C46F5">
              <w:rPr>
                <w:sz w:val="18"/>
                <w:szCs w:val="18"/>
              </w:rPr>
              <w:t>8</w:t>
            </w:r>
          </w:p>
        </w:tc>
      </w:tr>
    </w:tbl>
    <w:p w14:paraId="12B4215C" w14:textId="77777777" w:rsidR="005C76FC" w:rsidRPr="00A4410A" w:rsidRDefault="005C76FC">
      <w:pPr>
        <w:jc w:val="both"/>
        <w:rPr>
          <w:rFonts w:ascii="Times New Roman" w:hAnsi="Times New Roman" w:cs="Times New Roman"/>
          <w:snapToGrid w:val="0"/>
          <w:sz w:val="20"/>
          <w:szCs w:val="20"/>
        </w:rPr>
      </w:pPr>
    </w:p>
    <w:p w14:paraId="12B4215D" w14:textId="77777777" w:rsidR="005C76FC" w:rsidRPr="00A4410A" w:rsidRDefault="005C76FC">
      <w:pPr>
        <w:jc w:val="both"/>
        <w:rPr>
          <w:rFonts w:ascii="Times New Roman" w:hAnsi="Times New Roman" w:cs="Times New Roman"/>
          <w:snapToGrid w:val="0"/>
          <w:sz w:val="20"/>
          <w:szCs w:val="20"/>
        </w:rPr>
      </w:pPr>
    </w:p>
    <w:p w14:paraId="12B4215E" w14:textId="77777777" w:rsidR="006A5EC5" w:rsidRPr="00A4410A" w:rsidRDefault="006A5EC5" w:rsidP="006A5EC5">
      <w:pPr>
        <w:rPr>
          <w:rFonts w:ascii="Times New Roman" w:hAnsi="Times New Roman" w:cs="Times New Roman"/>
          <w:b/>
          <w:bCs/>
          <w:sz w:val="20"/>
          <w:szCs w:val="20"/>
        </w:rPr>
      </w:pPr>
    </w:p>
    <w:p w14:paraId="12B4215F" w14:textId="77777777" w:rsidR="006A5EC5" w:rsidRPr="00A4410A" w:rsidRDefault="006A5EC5" w:rsidP="006A5EC5">
      <w:pPr>
        <w:rPr>
          <w:rFonts w:ascii="Times New Roman" w:hAnsi="Times New Roman" w:cs="Times New Roman"/>
          <w:b/>
          <w:bCs/>
          <w:sz w:val="20"/>
          <w:szCs w:val="20"/>
        </w:rPr>
      </w:pPr>
      <w:r w:rsidRPr="00A4410A">
        <w:rPr>
          <w:rFonts w:ascii="Times New Roman" w:hAnsi="Times New Roman" w:cs="Times New Roman"/>
          <w:b/>
          <w:bCs/>
          <w:sz w:val="20"/>
          <w:szCs w:val="20"/>
        </w:rPr>
        <w:t>7.01.2.2 CPS Call Conveyance (including Intermediary Services)</w:t>
      </w:r>
    </w:p>
    <w:p w14:paraId="12B42160" w14:textId="77777777" w:rsidR="006A5EC5" w:rsidRPr="00A4410A" w:rsidRDefault="006A5EC5" w:rsidP="006A5EC5">
      <w:pPr>
        <w:jc w:val="both"/>
        <w:rPr>
          <w:rFonts w:ascii="Times New Roman" w:hAnsi="Times New Roman" w:cs="Times New Roman"/>
          <w:sz w:val="20"/>
          <w:szCs w:val="20"/>
        </w:rPr>
      </w:pPr>
      <w:r w:rsidRPr="00A4410A">
        <w:rPr>
          <w:rFonts w:ascii="Times New Roman" w:hAnsi="Times New Roman" w:cs="Times New Roman"/>
          <w:snapToGrid w:val="0"/>
          <w:sz w:val="20"/>
          <w:szCs w:val="20"/>
        </w:rPr>
        <w:t>.</w:t>
      </w:r>
    </w:p>
    <w:tbl>
      <w:tblPr>
        <w:tblW w:w="15054" w:type="dxa"/>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73"/>
        <w:gridCol w:w="3053"/>
        <w:gridCol w:w="1134"/>
        <w:gridCol w:w="1134"/>
        <w:gridCol w:w="1134"/>
        <w:gridCol w:w="1276"/>
        <w:gridCol w:w="1250"/>
        <w:gridCol w:w="1250"/>
        <w:gridCol w:w="1250"/>
        <w:gridCol w:w="1250"/>
        <w:gridCol w:w="1250"/>
      </w:tblGrid>
      <w:tr w:rsidR="00C97511" w:rsidRPr="00A4410A" w14:paraId="12B4216C" w14:textId="77777777" w:rsidTr="00C97511">
        <w:trPr>
          <w:trHeight w:val="510"/>
        </w:trPr>
        <w:tc>
          <w:tcPr>
            <w:tcW w:w="1073" w:type="dxa"/>
            <w:tcBorders>
              <w:top w:val="single" w:sz="12" w:space="0" w:color="auto"/>
            </w:tcBorders>
          </w:tcPr>
          <w:p w14:paraId="12B42161" w14:textId="77777777" w:rsidR="00C97511" w:rsidRPr="00A4410A" w:rsidRDefault="00C97511" w:rsidP="00C97511">
            <w:pPr>
              <w:jc w:val="center"/>
              <w:rPr>
                <w:b/>
                <w:bCs/>
                <w:sz w:val="18"/>
                <w:szCs w:val="18"/>
              </w:rPr>
            </w:pPr>
            <w:r w:rsidRPr="00A4410A">
              <w:rPr>
                <w:b/>
                <w:bCs/>
                <w:sz w:val="18"/>
                <w:szCs w:val="18"/>
              </w:rPr>
              <w:t>Operator</w:t>
            </w:r>
          </w:p>
        </w:tc>
        <w:tc>
          <w:tcPr>
            <w:tcW w:w="3053" w:type="dxa"/>
            <w:tcBorders>
              <w:top w:val="single" w:sz="12" w:space="0" w:color="auto"/>
            </w:tcBorders>
            <w:noWrap/>
          </w:tcPr>
          <w:p w14:paraId="12B42162" w14:textId="77777777" w:rsidR="00C97511" w:rsidRPr="00A4410A" w:rsidRDefault="00C97511" w:rsidP="00C97511">
            <w:pPr>
              <w:jc w:val="center"/>
              <w:rPr>
                <w:b/>
                <w:bCs/>
                <w:sz w:val="18"/>
                <w:szCs w:val="18"/>
              </w:rPr>
            </w:pPr>
            <w:r w:rsidRPr="00A4410A">
              <w:rPr>
                <w:b/>
                <w:bCs/>
                <w:sz w:val="18"/>
                <w:szCs w:val="18"/>
              </w:rPr>
              <w:t>Description</w:t>
            </w:r>
          </w:p>
        </w:tc>
        <w:tc>
          <w:tcPr>
            <w:tcW w:w="1134" w:type="dxa"/>
            <w:tcBorders>
              <w:top w:val="single" w:sz="12" w:space="0" w:color="auto"/>
            </w:tcBorders>
          </w:tcPr>
          <w:p w14:paraId="12B42163" w14:textId="77777777" w:rsidR="00C97511" w:rsidRPr="00A4410A" w:rsidRDefault="00C97511" w:rsidP="00C97511">
            <w:pPr>
              <w:jc w:val="center"/>
              <w:rPr>
                <w:b/>
                <w:bCs/>
                <w:sz w:val="18"/>
                <w:szCs w:val="18"/>
              </w:rPr>
            </w:pPr>
            <w:r w:rsidRPr="00A4410A">
              <w:rPr>
                <w:b/>
                <w:bCs/>
                <w:sz w:val="18"/>
                <w:szCs w:val="18"/>
              </w:rPr>
              <w:t>Effective Date</w:t>
            </w:r>
          </w:p>
        </w:tc>
        <w:tc>
          <w:tcPr>
            <w:tcW w:w="1134" w:type="dxa"/>
            <w:tcBorders>
              <w:top w:val="single" w:sz="12" w:space="0" w:color="auto"/>
            </w:tcBorders>
            <w:noWrap/>
          </w:tcPr>
          <w:p w14:paraId="12B42164" w14:textId="77777777" w:rsidR="00C97511" w:rsidRPr="00A4410A" w:rsidRDefault="00C97511" w:rsidP="00C97511">
            <w:pPr>
              <w:jc w:val="center"/>
              <w:rPr>
                <w:b/>
                <w:bCs/>
                <w:sz w:val="18"/>
                <w:szCs w:val="18"/>
              </w:rPr>
            </w:pPr>
            <w:r w:rsidRPr="00A4410A">
              <w:rPr>
                <w:b/>
                <w:bCs/>
                <w:sz w:val="18"/>
                <w:szCs w:val="18"/>
              </w:rPr>
              <w:t>Until</w:t>
            </w:r>
          </w:p>
        </w:tc>
        <w:tc>
          <w:tcPr>
            <w:tcW w:w="1134" w:type="dxa"/>
            <w:tcBorders>
              <w:top w:val="single" w:sz="12" w:space="0" w:color="auto"/>
            </w:tcBorders>
            <w:noWrap/>
          </w:tcPr>
          <w:p w14:paraId="12B42165" w14:textId="77777777" w:rsidR="00C97511" w:rsidRPr="00A4410A" w:rsidRDefault="00C97511" w:rsidP="00C97511">
            <w:pPr>
              <w:jc w:val="center"/>
              <w:rPr>
                <w:b/>
                <w:bCs/>
                <w:sz w:val="18"/>
                <w:szCs w:val="18"/>
              </w:rPr>
            </w:pPr>
            <w:r w:rsidRPr="00A4410A">
              <w:rPr>
                <w:b/>
                <w:bCs/>
                <w:sz w:val="18"/>
                <w:szCs w:val="18"/>
              </w:rPr>
              <w:t>Daytime (ppm)</w:t>
            </w:r>
          </w:p>
        </w:tc>
        <w:tc>
          <w:tcPr>
            <w:tcW w:w="1276" w:type="dxa"/>
            <w:tcBorders>
              <w:top w:val="single" w:sz="12" w:space="0" w:color="auto"/>
            </w:tcBorders>
            <w:noWrap/>
          </w:tcPr>
          <w:p w14:paraId="12B42166" w14:textId="77777777" w:rsidR="00C97511" w:rsidRPr="00A4410A" w:rsidRDefault="00C97511" w:rsidP="00C97511">
            <w:pPr>
              <w:jc w:val="center"/>
              <w:rPr>
                <w:b/>
                <w:bCs/>
                <w:sz w:val="18"/>
                <w:szCs w:val="18"/>
              </w:rPr>
            </w:pPr>
            <w:r w:rsidRPr="00A4410A">
              <w:rPr>
                <w:b/>
                <w:bCs/>
                <w:sz w:val="18"/>
                <w:szCs w:val="18"/>
              </w:rPr>
              <w:t>Evening (ppm)</w:t>
            </w:r>
          </w:p>
        </w:tc>
        <w:tc>
          <w:tcPr>
            <w:tcW w:w="1250" w:type="dxa"/>
            <w:tcBorders>
              <w:top w:val="single" w:sz="12" w:space="0" w:color="auto"/>
            </w:tcBorders>
            <w:noWrap/>
          </w:tcPr>
          <w:p w14:paraId="12B42167" w14:textId="77777777" w:rsidR="00C97511" w:rsidRPr="00A4410A" w:rsidRDefault="00C97511" w:rsidP="00C97511">
            <w:pPr>
              <w:jc w:val="center"/>
              <w:rPr>
                <w:b/>
                <w:bCs/>
                <w:sz w:val="18"/>
                <w:szCs w:val="18"/>
              </w:rPr>
            </w:pPr>
            <w:r w:rsidRPr="00A4410A">
              <w:rPr>
                <w:b/>
                <w:bCs/>
                <w:sz w:val="18"/>
                <w:szCs w:val="18"/>
              </w:rPr>
              <w:t>Weekend (ppm)</w:t>
            </w:r>
          </w:p>
        </w:tc>
        <w:tc>
          <w:tcPr>
            <w:tcW w:w="1250" w:type="dxa"/>
            <w:tcBorders>
              <w:top w:val="single" w:sz="12" w:space="0" w:color="auto"/>
            </w:tcBorders>
          </w:tcPr>
          <w:p w14:paraId="12B42168" w14:textId="77777777" w:rsidR="00C97511" w:rsidRPr="00A4410A" w:rsidRDefault="00C97511" w:rsidP="00C97511">
            <w:pPr>
              <w:jc w:val="center"/>
              <w:rPr>
                <w:b/>
                <w:bCs/>
                <w:sz w:val="18"/>
                <w:szCs w:val="18"/>
              </w:rPr>
            </w:pPr>
            <w:r w:rsidRPr="00A4410A">
              <w:rPr>
                <w:b/>
                <w:bCs/>
                <w:sz w:val="18"/>
                <w:szCs w:val="18"/>
              </w:rPr>
              <w:t>Daytime (ppc)</w:t>
            </w:r>
          </w:p>
        </w:tc>
        <w:tc>
          <w:tcPr>
            <w:tcW w:w="1250" w:type="dxa"/>
            <w:tcBorders>
              <w:top w:val="single" w:sz="12" w:space="0" w:color="auto"/>
            </w:tcBorders>
          </w:tcPr>
          <w:p w14:paraId="12B42169" w14:textId="77777777" w:rsidR="00C97511" w:rsidRPr="00A4410A" w:rsidRDefault="00C97511" w:rsidP="00C97511">
            <w:pPr>
              <w:jc w:val="center"/>
              <w:rPr>
                <w:b/>
                <w:bCs/>
                <w:sz w:val="18"/>
                <w:szCs w:val="18"/>
              </w:rPr>
            </w:pPr>
            <w:r w:rsidRPr="00A4410A">
              <w:rPr>
                <w:b/>
                <w:bCs/>
                <w:sz w:val="18"/>
                <w:szCs w:val="18"/>
              </w:rPr>
              <w:t>Evening (ppc)</w:t>
            </w:r>
          </w:p>
        </w:tc>
        <w:tc>
          <w:tcPr>
            <w:tcW w:w="1250" w:type="dxa"/>
            <w:tcBorders>
              <w:top w:val="single" w:sz="12" w:space="0" w:color="auto"/>
            </w:tcBorders>
          </w:tcPr>
          <w:p w14:paraId="12B4216A" w14:textId="77777777" w:rsidR="00C97511" w:rsidRPr="00A4410A" w:rsidRDefault="00C97511" w:rsidP="00C97511">
            <w:pPr>
              <w:jc w:val="center"/>
              <w:rPr>
                <w:b/>
                <w:bCs/>
                <w:sz w:val="18"/>
                <w:szCs w:val="18"/>
              </w:rPr>
            </w:pPr>
            <w:r w:rsidRPr="00A4410A">
              <w:rPr>
                <w:b/>
                <w:bCs/>
                <w:sz w:val="18"/>
                <w:szCs w:val="18"/>
              </w:rPr>
              <w:t>Weekend (ppc)</w:t>
            </w:r>
          </w:p>
        </w:tc>
        <w:tc>
          <w:tcPr>
            <w:tcW w:w="1250" w:type="dxa"/>
            <w:tcBorders>
              <w:top w:val="single" w:sz="12" w:space="0" w:color="auto"/>
            </w:tcBorders>
          </w:tcPr>
          <w:p w14:paraId="12B4216B" w14:textId="77777777" w:rsidR="00C97511" w:rsidRPr="00A4410A" w:rsidRDefault="00C97511" w:rsidP="00C97511">
            <w:pPr>
              <w:jc w:val="center"/>
              <w:rPr>
                <w:b/>
                <w:bCs/>
                <w:sz w:val="18"/>
                <w:szCs w:val="18"/>
              </w:rPr>
            </w:pPr>
            <w:r w:rsidRPr="00A4410A">
              <w:rPr>
                <w:b/>
                <w:bCs/>
                <w:sz w:val="18"/>
                <w:szCs w:val="18"/>
              </w:rPr>
              <w:t>Notes</w:t>
            </w:r>
          </w:p>
        </w:tc>
      </w:tr>
      <w:tr w:rsidR="000E2E1E" w:rsidRPr="00A4410A" w14:paraId="0F83A6D6" w14:textId="77777777" w:rsidTr="0084195B">
        <w:trPr>
          <w:trHeight w:val="270"/>
        </w:trPr>
        <w:tc>
          <w:tcPr>
            <w:tcW w:w="1073" w:type="dxa"/>
            <w:tcBorders>
              <w:top w:val="single" w:sz="4" w:space="0" w:color="auto"/>
              <w:bottom w:val="single" w:sz="4" w:space="0" w:color="auto"/>
            </w:tcBorders>
            <w:shd w:val="clear" w:color="auto" w:fill="auto"/>
          </w:tcPr>
          <w:p w14:paraId="735C9580" w14:textId="201B416D" w:rsidR="000E2E1E" w:rsidRPr="00D65587" w:rsidRDefault="000E2E1E" w:rsidP="000E2E1E">
            <w:pPr>
              <w:jc w:val="center"/>
              <w:rPr>
                <w:sz w:val="18"/>
                <w:szCs w:val="18"/>
              </w:rPr>
            </w:pPr>
            <w:r w:rsidRPr="00D65587">
              <w:rPr>
                <w:sz w:val="18"/>
                <w:szCs w:val="18"/>
              </w:rPr>
              <w:t>All Operators</w:t>
            </w:r>
          </w:p>
        </w:tc>
        <w:tc>
          <w:tcPr>
            <w:tcW w:w="3053" w:type="dxa"/>
            <w:tcBorders>
              <w:top w:val="single" w:sz="4" w:space="0" w:color="auto"/>
              <w:bottom w:val="single" w:sz="4" w:space="0" w:color="auto"/>
            </w:tcBorders>
            <w:shd w:val="clear" w:color="auto" w:fill="auto"/>
            <w:noWrap/>
          </w:tcPr>
          <w:p w14:paraId="41E032A1" w14:textId="50A9A70C" w:rsidR="000E2E1E" w:rsidRPr="00D65587" w:rsidRDefault="000E2E1E" w:rsidP="000E2E1E">
            <w:pPr>
              <w:jc w:val="center"/>
              <w:rPr>
                <w:sz w:val="18"/>
                <w:szCs w:val="18"/>
              </w:rPr>
            </w:pPr>
            <w:r w:rsidRPr="00D65587">
              <w:rPr>
                <w:sz w:val="18"/>
                <w:szCs w:val="18"/>
              </w:rPr>
              <w:t>BT Local Exchange CPS Call Conveyance</w:t>
            </w:r>
          </w:p>
        </w:tc>
        <w:tc>
          <w:tcPr>
            <w:tcW w:w="1134" w:type="dxa"/>
            <w:tcBorders>
              <w:top w:val="single" w:sz="4" w:space="0" w:color="auto"/>
              <w:bottom w:val="single" w:sz="4" w:space="0" w:color="auto"/>
            </w:tcBorders>
            <w:shd w:val="clear" w:color="auto" w:fill="auto"/>
            <w:noWrap/>
          </w:tcPr>
          <w:p w14:paraId="51033051" w14:textId="606E848C" w:rsidR="000E2E1E" w:rsidRDefault="000E2E1E" w:rsidP="000E2E1E">
            <w:pPr>
              <w:jc w:val="center"/>
              <w:rPr>
                <w:sz w:val="18"/>
                <w:szCs w:val="18"/>
              </w:rPr>
            </w:pPr>
            <w:r>
              <w:rPr>
                <w:sz w:val="18"/>
                <w:szCs w:val="18"/>
              </w:rPr>
              <w:t>01/04/2023</w:t>
            </w:r>
          </w:p>
        </w:tc>
        <w:tc>
          <w:tcPr>
            <w:tcW w:w="1134" w:type="dxa"/>
            <w:tcBorders>
              <w:top w:val="single" w:sz="4" w:space="0" w:color="auto"/>
              <w:bottom w:val="single" w:sz="4" w:space="0" w:color="auto"/>
            </w:tcBorders>
            <w:shd w:val="clear" w:color="auto" w:fill="auto"/>
            <w:noWrap/>
          </w:tcPr>
          <w:p w14:paraId="02616780" w14:textId="59BB750F" w:rsidR="000E2E1E" w:rsidRPr="00C717B0" w:rsidRDefault="008D5CA2" w:rsidP="000E2E1E">
            <w:pPr>
              <w:jc w:val="center"/>
              <w:rPr>
                <w:sz w:val="18"/>
                <w:szCs w:val="18"/>
              </w:rPr>
            </w:pPr>
            <w:r>
              <w:rPr>
                <w:sz w:val="18"/>
                <w:szCs w:val="18"/>
              </w:rPr>
              <w:t>30/0</w:t>
            </w:r>
            <w:r w:rsidR="00923062">
              <w:rPr>
                <w:sz w:val="18"/>
                <w:szCs w:val="18"/>
              </w:rPr>
              <w:t>9</w:t>
            </w:r>
            <w:r>
              <w:rPr>
                <w:sz w:val="18"/>
                <w:szCs w:val="18"/>
              </w:rPr>
              <w:t>/2023</w:t>
            </w:r>
          </w:p>
        </w:tc>
        <w:tc>
          <w:tcPr>
            <w:tcW w:w="1134" w:type="dxa"/>
            <w:noWrap/>
          </w:tcPr>
          <w:p w14:paraId="7B22B84E" w14:textId="77777777" w:rsidR="000E2E1E" w:rsidRPr="00665168" w:rsidRDefault="000E2E1E" w:rsidP="000E2E1E">
            <w:pPr>
              <w:jc w:val="center"/>
              <w:rPr>
                <w:sz w:val="18"/>
                <w:szCs w:val="18"/>
                <w:lang w:val="en-GB"/>
              </w:rPr>
            </w:pPr>
            <w:r w:rsidRPr="00665168">
              <w:rPr>
                <w:sz w:val="18"/>
                <w:szCs w:val="18"/>
              </w:rPr>
              <w:t>0.5720</w:t>
            </w:r>
          </w:p>
          <w:p w14:paraId="6DCC4555" w14:textId="77777777" w:rsidR="000E2E1E" w:rsidRPr="00CA448E" w:rsidRDefault="000E2E1E" w:rsidP="000E2E1E">
            <w:pPr>
              <w:jc w:val="center"/>
              <w:rPr>
                <w:sz w:val="18"/>
                <w:szCs w:val="18"/>
              </w:rPr>
            </w:pPr>
          </w:p>
        </w:tc>
        <w:tc>
          <w:tcPr>
            <w:tcW w:w="1276" w:type="dxa"/>
            <w:noWrap/>
          </w:tcPr>
          <w:p w14:paraId="508CB1AF" w14:textId="1195E3B5" w:rsidR="000E2E1E" w:rsidRPr="00CA448E" w:rsidRDefault="000E2E1E" w:rsidP="000E2E1E">
            <w:pPr>
              <w:jc w:val="center"/>
              <w:rPr>
                <w:sz w:val="18"/>
                <w:szCs w:val="18"/>
              </w:rPr>
            </w:pPr>
            <w:r w:rsidRPr="000A2CBB">
              <w:rPr>
                <w:sz w:val="18"/>
                <w:szCs w:val="18"/>
              </w:rPr>
              <w:t>0.5720</w:t>
            </w:r>
          </w:p>
        </w:tc>
        <w:tc>
          <w:tcPr>
            <w:tcW w:w="1250" w:type="dxa"/>
            <w:noWrap/>
          </w:tcPr>
          <w:p w14:paraId="40897565" w14:textId="3E4D62CE" w:rsidR="000E2E1E" w:rsidRPr="00CA448E" w:rsidRDefault="000E2E1E" w:rsidP="000E2E1E">
            <w:pPr>
              <w:jc w:val="center"/>
              <w:rPr>
                <w:sz w:val="18"/>
                <w:szCs w:val="18"/>
              </w:rPr>
            </w:pPr>
            <w:r w:rsidRPr="000A2CBB">
              <w:rPr>
                <w:sz w:val="18"/>
                <w:szCs w:val="18"/>
              </w:rPr>
              <w:t>0.5720</w:t>
            </w:r>
          </w:p>
        </w:tc>
        <w:tc>
          <w:tcPr>
            <w:tcW w:w="1250" w:type="dxa"/>
            <w:shd w:val="clear" w:color="auto" w:fill="auto"/>
          </w:tcPr>
          <w:p w14:paraId="5648C266" w14:textId="77777777" w:rsidR="000E2E1E" w:rsidRPr="000E2E1E" w:rsidRDefault="000E2E1E" w:rsidP="000E2E1E">
            <w:pPr>
              <w:jc w:val="center"/>
              <w:rPr>
                <w:sz w:val="18"/>
                <w:szCs w:val="18"/>
                <w:lang w:val="en-GB"/>
              </w:rPr>
            </w:pPr>
            <w:r w:rsidRPr="000E2E1E">
              <w:rPr>
                <w:sz w:val="18"/>
                <w:szCs w:val="18"/>
              </w:rPr>
              <w:t>0.1996</w:t>
            </w:r>
          </w:p>
          <w:p w14:paraId="74696FF7" w14:textId="77777777" w:rsidR="000E2E1E" w:rsidRPr="00430680" w:rsidRDefault="000E2E1E" w:rsidP="000E2E1E">
            <w:pPr>
              <w:jc w:val="center"/>
              <w:rPr>
                <w:sz w:val="18"/>
                <w:szCs w:val="18"/>
              </w:rPr>
            </w:pPr>
          </w:p>
        </w:tc>
        <w:tc>
          <w:tcPr>
            <w:tcW w:w="1250" w:type="dxa"/>
            <w:shd w:val="clear" w:color="auto" w:fill="auto"/>
          </w:tcPr>
          <w:p w14:paraId="0BF9537D" w14:textId="4056AFED" w:rsidR="000E2E1E" w:rsidRPr="00430680" w:rsidRDefault="000E2E1E" w:rsidP="000E2E1E">
            <w:pPr>
              <w:jc w:val="center"/>
              <w:rPr>
                <w:sz w:val="18"/>
                <w:szCs w:val="18"/>
              </w:rPr>
            </w:pPr>
            <w:r w:rsidRPr="00E7694B">
              <w:rPr>
                <w:sz w:val="18"/>
                <w:szCs w:val="18"/>
              </w:rPr>
              <w:t>0.1996</w:t>
            </w:r>
          </w:p>
        </w:tc>
        <w:tc>
          <w:tcPr>
            <w:tcW w:w="1250" w:type="dxa"/>
            <w:shd w:val="clear" w:color="auto" w:fill="auto"/>
          </w:tcPr>
          <w:p w14:paraId="7704A684" w14:textId="58A7EE03" w:rsidR="000E2E1E" w:rsidRPr="00430680" w:rsidRDefault="000E2E1E" w:rsidP="000E2E1E">
            <w:pPr>
              <w:jc w:val="center"/>
              <w:rPr>
                <w:sz w:val="18"/>
                <w:szCs w:val="18"/>
              </w:rPr>
            </w:pPr>
            <w:r w:rsidRPr="00E7694B">
              <w:rPr>
                <w:sz w:val="18"/>
                <w:szCs w:val="18"/>
              </w:rPr>
              <w:t>0.1996</w:t>
            </w:r>
          </w:p>
        </w:tc>
        <w:tc>
          <w:tcPr>
            <w:tcW w:w="1250" w:type="dxa"/>
            <w:tcBorders>
              <w:top w:val="single" w:sz="4" w:space="0" w:color="auto"/>
              <w:bottom w:val="single" w:sz="4" w:space="0" w:color="auto"/>
            </w:tcBorders>
          </w:tcPr>
          <w:p w14:paraId="08751A6E" w14:textId="36F78331" w:rsidR="000E2E1E" w:rsidRDefault="000E2E1E" w:rsidP="000E2E1E">
            <w:pPr>
              <w:jc w:val="center"/>
              <w:rPr>
                <w:sz w:val="18"/>
                <w:szCs w:val="18"/>
              </w:rPr>
            </w:pPr>
            <w:r w:rsidRPr="005C46F5">
              <w:rPr>
                <w:sz w:val="18"/>
                <w:szCs w:val="18"/>
              </w:rPr>
              <w:t>10</w:t>
            </w:r>
          </w:p>
        </w:tc>
      </w:tr>
      <w:tr w:rsidR="0084195B" w:rsidRPr="00A4410A" w14:paraId="7DB99460" w14:textId="77777777" w:rsidTr="008D5CA2">
        <w:trPr>
          <w:trHeight w:val="270"/>
        </w:trPr>
        <w:tc>
          <w:tcPr>
            <w:tcW w:w="1073" w:type="dxa"/>
            <w:tcBorders>
              <w:top w:val="single" w:sz="4" w:space="0" w:color="auto"/>
              <w:bottom w:val="single" w:sz="12" w:space="0" w:color="auto"/>
            </w:tcBorders>
            <w:shd w:val="clear" w:color="auto" w:fill="auto"/>
          </w:tcPr>
          <w:p w14:paraId="05AC8385" w14:textId="7B89666D" w:rsidR="0084195B" w:rsidRPr="00D65587" w:rsidRDefault="0084195B" w:rsidP="0084195B">
            <w:pPr>
              <w:jc w:val="center"/>
              <w:rPr>
                <w:sz w:val="18"/>
                <w:szCs w:val="18"/>
              </w:rPr>
            </w:pPr>
            <w:r w:rsidRPr="00D65587">
              <w:rPr>
                <w:sz w:val="18"/>
                <w:szCs w:val="18"/>
              </w:rPr>
              <w:t>All Operators</w:t>
            </w:r>
          </w:p>
        </w:tc>
        <w:tc>
          <w:tcPr>
            <w:tcW w:w="3053" w:type="dxa"/>
            <w:tcBorders>
              <w:top w:val="single" w:sz="4" w:space="0" w:color="auto"/>
              <w:bottom w:val="single" w:sz="12" w:space="0" w:color="auto"/>
            </w:tcBorders>
            <w:shd w:val="clear" w:color="auto" w:fill="auto"/>
            <w:noWrap/>
          </w:tcPr>
          <w:p w14:paraId="463E2B88" w14:textId="612B6333" w:rsidR="0084195B" w:rsidRPr="00D65587" w:rsidRDefault="0084195B" w:rsidP="0084195B">
            <w:pPr>
              <w:jc w:val="center"/>
              <w:rPr>
                <w:sz w:val="18"/>
                <w:szCs w:val="18"/>
              </w:rPr>
            </w:pPr>
            <w:r w:rsidRPr="00D65587">
              <w:rPr>
                <w:sz w:val="18"/>
                <w:szCs w:val="18"/>
              </w:rPr>
              <w:t>BT Local Exchange CPS Call Conveyance</w:t>
            </w:r>
          </w:p>
        </w:tc>
        <w:tc>
          <w:tcPr>
            <w:tcW w:w="1134" w:type="dxa"/>
            <w:tcBorders>
              <w:top w:val="single" w:sz="4" w:space="0" w:color="auto"/>
              <w:bottom w:val="single" w:sz="12" w:space="0" w:color="auto"/>
            </w:tcBorders>
            <w:shd w:val="clear" w:color="auto" w:fill="auto"/>
            <w:noWrap/>
          </w:tcPr>
          <w:p w14:paraId="5A18CC4F" w14:textId="59928BCF" w:rsidR="0084195B" w:rsidRDefault="008D5CA2" w:rsidP="0084195B">
            <w:pPr>
              <w:jc w:val="center"/>
              <w:rPr>
                <w:sz w:val="18"/>
                <w:szCs w:val="18"/>
              </w:rPr>
            </w:pPr>
            <w:r>
              <w:rPr>
                <w:sz w:val="18"/>
                <w:szCs w:val="18"/>
              </w:rPr>
              <w:t>01/10/2023</w:t>
            </w:r>
          </w:p>
        </w:tc>
        <w:tc>
          <w:tcPr>
            <w:tcW w:w="1134" w:type="dxa"/>
            <w:tcBorders>
              <w:top w:val="single" w:sz="4" w:space="0" w:color="auto"/>
              <w:bottom w:val="single" w:sz="12" w:space="0" w:color="auto"/>
            </w:tcBorders>
            <w:shd w:val="clear" w:color="auto" w:fill="auto"/>
            <w:noWrap/>
          </w:tcPr>
          <w:p w14:paraId="0462CC9E" w14:textId="77777777" w:rsidR="0084195B" w:rsidRPr="00C717B0" w:rsidRDefault="0084195B" w:rsidP="0084195B">
            <w:pPr>
              <w:jc w:val="center"/>
              <w:rPr>
                <w:sz w:val="18"/>
                <w:szCs w:val="18"/>
              </w:rPr>
            </w:pPr>
          </w:p>
        </w:tc>
        <w:tc>
          <w:tcPr>
            <w:tcW w:w="1134" w:type="dxa"/>
            <w:noWrap/>
          </w:tcPr>
          <w:p w14:paraId="5D507BAD" w14:textId="2CC4F3CD" w:rsidR="0084195B" w:rsidRPr="00665168" w:rsidRDefault="009C3844" w:rsidP="0084195B">
            <w:pPr>
              <w:jc w:val="center"/>
              <w:rPr>
                <w:sz w:val="18"/>
                <w:szCs w:val="18"/>
              </w:rPr>
            </w:pPr>
            <w:r w:rsidRPr="009C3844">
              <w:rPr>
                <w:sz w:val="18"/>
                <w:szCs w:val="18"/>
              </w:rPr>
              <w:t>0.5914</w:t>
            </w:r>
          </w:p>
        </w:tc>
        <w:tc>
          <w:tcPr>
            <w:tcW w:w="1276" w:type="dxa"/>
            <w:noWrap/>
          </w:tcPr>
          <w:p w14:paraId="73A5711D" w14:textId="1040C15B" w:rsidR="0084195B" w:rsidRPr="000A2CBB" w:rsidRDefault="009C3844" w:rsidP="0084195B">
            <w:pPr>
              <w:jc w:val="center"/>
              <w:rPr>
                <w:sz w:val="18"/>
                <w:szCs w:val="18"/>
              </w:rPr>
            </w:pPr>
            <w:r w:rsidRPr="009C3844">
              <w:rPr>
                <w:sz w:val="18"/>
                <w:szCs w:val="18"/>
              </w:rPr>
              <w:t>0.5914</w:t>
            </w:r>
          </w:p>
        </w:tc>
        <w:tc>
          <w:tcPr>
            <w:tcW w:w="1250" w:type="dxa"/>
            <w:noWrap/>
          </w:tcPr>
          <w:p w14:paraId="2CF15A80" w14:textId="70433B7E" w:rsidR="0084195B" w:rsidRPr="000A2CBB" w:rsidRDefault="009C3844" w:rsidP="0084195B">
            <w:pPr>
              <w:jc w:val="center"/>
              <w:rPr>
                <w:sz w:val="18"/>
                <w:szCs w:val="18"/>
              </w:rPr>
            </w:pPr>
            <w:r w:rsidRPr="009C3844">
              <w:rPr>
                <w:sz w:val="18"/>
                <w:szCs w:val="18"/>
              </w:rPr>
              <w:t>0.5914</w:t>
            </w:r>
          </w:p>
        </w:tc>
        <w:tc>
          <w:tcPr>
            <w:tcW w:w="1250" w:type="dxa"/>
            <w:shd w:val="clear" w:color="auto" w:fill="auto"/>
          </w:tcPr>
          <w:p w14:paraId="4229A8CE" w14:textId="74FED763" w:rsidR="0084195B" w:rsidRPr="000E2E1E" w:rsidRDefault="00E11CFA" w:rsidP="0084195B">
            <w:pPr>
              <w:jc w:val="center"/>
              <w:rPr>
                <w:sz w:val="18"/>
                <w:szCs w:val="18"/>
              </w:rPr>
            </w:pPr>
            <w:r w:rsidRPr="00E11CFA">
              <w:rPr>
                <w:sz w:val="18"/>
                <w:szCs w:val="18"/>
              </w:rPr>
              <w:t>0.2064</w:t>
            </w:r>
          </w:p>
        </w:tc>
        <w:tc>
          <w:tcPr>
            <w:tcW w:w="1250" w:type="dxa"/>
            <w:shd w:val="clear" w:color="auto" w:fill="auto"/>
          </w:tcPr>
          <w:p w14:paraId="533DCB8A" w14:textId="4680458A" w:rsidR="0084195B" w:rsidRPr="00E7694B" w:rsidRDefault="00E11CFA" w:rsidP="0084195B">
            <w:pPr>
              <w:jc w:val="center"/>
              <w:rPr>
                <w:sz w:val="18"/>
                <w:szCs w:val="18"/>
              </w:rPr>
            </w:pPr>
            <w:r w:rsidRPr="00E11CFA">
              <w:rPr>
                <w:sz w:val="18"/>
                <w:szCs w:val="18"/>
              </w:rPr>
              <w:t>0.2064</w:t>
            </w:r>
          </w:p>
        </w:tc>
        <w:tc>
          <w:tcPr>
            <w:tcW w:w="1250" w:type="dxa"/>
            <w:shd w:val="clear" w:color="auto" w:fill="auto"/>
          </w:tcPr>
          <w:p w14:paraId="04B64BC5" w14:textId="6F9B4412" w:rsidR="0084195B" w:rsidRPr="00E7694B" w:rsidRDefault="00E11CFA" w:rsidP="0084195B">
            <w:pPr>
              <w:jc w:val="center"/>
              <w:rPr>
                <w:sz w:val="18"/>
                <w:szCs w:val="18"/>
              </w:rPr>
            </w:pPr>
            <w:r w:rsidRPr="00E11CFA">
              <w:rPr>
                <w:sz w:val="18"/>
                <w:szCs w:val="18"/>
              </w:rPr>
              <w:t>0.2064</w:t>
            </w:r>
          </w:p>
        </w:tc>
        <w:tc>
          <w:tcPr>
            <w:tcW w:w="1250" w:type="dxa"/>
            <w:tcBorders>
              <w:top w:val="single" w:sz="4" w:space="0" w:color="auto"/>
              <w:bottom w:val="single" w:sz="12" w:space="0" w:color="auto"/>
            </w:tcBorders>
          </w:tcPr>
          <w:p w14:paraId="608587DA" w14:textId="66FFCD70" w:rsidR="0084195B" w:rsidRPr="005C46F5" w:rsidRDefault="0084195B" w:rsidP="0084195B">
            <w:pPr>
              <w:jc w:val="center"/>
              <w:rPr>
                <w:sz w:val="18"/>
                <w:szCs w:val="18"/>
              </w:rPr>
            </w:pPr>
            <w:r w:rsidRPr="005C46F5">
              <w:rPr>
                <w:sz w:val="18"/>
                <w:szCs w:val="18"/>
              </w:rPr>
              <w:t>10</w:t>
            </w:r>
          </w:p>
        </w:tc>
      </w:tr>
    </w:tbl>
    <w:p w14:paraId="12B42185" w14:textId="77777777" w:rsidR="006A5EC5" w:rsidRPr="00A4410A" w:rsidRDefault="006A5EC5" w:rsidP="006A5EC5">
      <w:pPr>
        <w:rPr>
          <w:rFonts w:ascii="Times New Roman" w:hAnsi="Times New Roman" w:cs="Times New Roman"/>
          <w:sz w:val="20"/>
          <w:szCs w:val="20"/>
        </w:rPr>
      </w:pPr>
    </w:p>
    <w:p w14:paraId="12B42186" w14:textId="77777777" w:rsidR="006A5EC5" w:rsidRDefault="006A5EC5" w:rsidP="006A5EC5">
      <w:pPr>
        <w:ind w:left="720" w:hanging="720"/>
        <w:rPr>
          <w:rFonts w:ascii="Times New Roman" w:hAnsi="Times New Roman" w:cs="Times New Roman"/>
          <w:sz w:val="20"/>
          <w:szCs w:val="20"/>
        </w:rPr>
      </w:pPr>
      <w:r w:rsidRPr="00A4410A">
        <w:rPr>
          <w:rFonts w:ascii="Times New Roman" w:hAnsi="Times New Roman" w:cs="Times New Roman"/>
          <w:sz w:val="20"/>
          <w:szCs w:val="20"/>
        </w:rPr>
        <w:t xml:space="preserve"> </w:t>
      </w:r>
    </w:p>
    <w:p w14:paraId="12B42187" w14:textId="77777777" w:rsidR="009E0BD5" w:rsidRDefault="009E0BD5" w:rsidP="006A5EC5">
      <w:pPr>
        <w:ind w:left="720" w:hanging="720"/>
        <w:rPr>
          <w:rFonts w:ascii="Times New Roman" w:hAnsi="Times New Roman" w:cs="Times New Roman"/>
          <w:sz w:val="20"/>
          <w:szCs w:val="20"/>
        </w:rPr>
      </w:pPr>
    </w:p>
    <w:p w14:paraId="12B42188" w14:textId="77777777" w:rsidR="009E0BD5" w:rsidRDefault="009E0BD5" w:rsidP="006A5EC5">
      <w:pPr>
        <w:ind w:left="720" w:hanging="720"/>
        <w:rPr>
          <w:rFonts w:ascii="Times New Roman" w:hAnsi="Times New Roman" w:cs="Times New Roman"/>
          <w:sz w:val="20"/>
          <w:szCs w:val="20"/>
        </w:rPr>
      </w:pPr>
    </w:p>
    <w:p w14:paraId="12B42189" w14:textId="77777777" w:rsidR="00C717B0" w:rsidRDefault="00C717B0" w:rsidP="006A5EC5">
      <w:pPr>
        <w:ind w:left="720" w:hanging="720"/>
        <w:rPr>
          <w:rFonts w:ascii="Times New Roman" w:hAnsi="Times New Roman" w:cs="Times New Roman"/>
          <w:sz w:val="20"/>
          <w:szCs w:val="20"/>
        </w:rPr>
      </w:pPr>
    </w:p>
    <w:p w14:paraId="12B4218A" w14:textId="77777777" w:rsidR="00C717B0" w:rsidRDefault="00C717B0" w:rsidP="006A5EC5">
      <w:pPr>
        <w:ind w:left="720" w:hanging="720"/>
        <w:rPr>
          <w:rFonts w:ascii="Times New Roman" w:hAnsi="Times New Roman" w:cs="Times New Roman"/>
          <w:sz w:val="20"/>
          <w:szCs w:val="20"/>
        </w:rPr>
      </w:pPr>
    </w:p>
    <w:p w14:paraId="12B4218B" w14:textId="1BAD2AAF" w:rsidR="00C717B0" w:rsidRDefault="008D5CA2" w:rsidP="008D5CA2">
      <w:pPr>
        <w:tabs>
          <w:tab w:val="left" w:pos="4550"/>
        </w:tabs>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12B4218C" w14:textId="77777777" w:rsidR="008E774C" w:rsidRDefault="008E774C" w:rsidP="006A5EC5">
      <w:pPr>
        <w:ind w:left="720" w:hanging="720"/>
        <w:rPr>
          <w:rFonts w:ascii="Times New Roman" w:hAnsi="Times New Roman" w:cs="Times New Roman"/>
          <w:sz w:val="20"/>
          <w:szCs w:val="20"/>
        </w:rPr>
      </w:pPr>
    </w:p>
    <w:p w14:paraId="12B4218D" w14:textId="77777777" w:rsidR="008E774C" w:rsidRDefault="008E774C" w:rsidP="006A5EC5">
      <w:pPr>
        <w:ind w:left="720" w:hanging="720"/>
        <w:rPr>
          <w:rFonts w:ascii="Times New Roman" w:hAnsi="Times New Roman" w:cs="Times New Roman"/>
          <w:sz w:val="20"/>
          <w:szCs w:val="20"/>
        </w:rPr>
      </w:pPr>
    </w:p>
    <w:p w14:paraId="12B4218E" w14:textId="77777777" w:rsidR="008E774C" w:rsidRDefault="008E774C" w:rsidP="006A5EC5">
      <w:pPr>
        <w:ind w:left="720" w:hanging="720"/>
        <w:rPr>
          <w:rFonts w:ascii="Times New Roman" w:hAnsi="Times New Roman" w:cs="Times New Roman"/>
          <w:sz w:val="20"/>
          <w:szCs w:val="20"/>
        </w:rPr>
      </w:pPr>
    </w:p>
    <w:p w14:paraId="12B4218F" w14:textId="77777777" w:rsidR="00C717B0" w:rsidRDefault="00C717B0" w:rsidP="006A5EC5">
      <w:pPr>
        <w:ind w:left="720" w:hanging="720"/>
        <w:rPr>
          <w:rFonts w:ascii="Times New Roman" w:hAnsi="Times New Roman" w:cs="Times New Roman"/>
          <w:sz w:val="20"/>
          <w:szCs w:val="20"/>
        </w:rPr>
      </w:pPr>
    </w:p>
    <w:p w14:paraId="12B42190" w14:textId="77777777" w:rsidR="009E0BD5" w:rsidRPr="00A4410A" w:rsidRDefault="009E0BD5" w:rsidP="006A5EC5">
      <w:pPr>
        <w:ind w:left="720" w:hanging="720"/>
        <w:rPr>
          <w:rFonts w:ascii="Times New Roman" w:hAnsi="Times New Roman" w:cs="Times New Roman"/>
          <w:sz w:val="20"/>
          <w:szCs w:val="20"/>
        </w:rPr>
      </w:pPr>
    </w:p>
    <w:p w14:paraId="12B42191" w14:textId="77777777" w:rsidR="006A5EC5" w:rsidRPr="00A4410A" w:rsidRDefault="006A5EC5" w:rsidP="006A5EC5">
      <w:pPr>
        <w:rPr>
          <w:rFonts w:ascii="Times New Roman" w:hAnsi="Times New Roman" w:cs="Times New Roman"/>
          <w:sz w:val="20"/>
          <w:szCs w:val="20"/>
        </w:rPr>
      </w:pPr>
    </w:p>
    <w:p w14:paraId="12B42192" w14:textId="77777777" w:rsidR="00511D68" w:rsidRPr="00A4410A" w:rsidRDefault="00511D68" w:rsidP="00511D68">
      <w:pPr>
        <w:pStyle w:val="Heading1"/>
        <w:rPr>
          <w:rFonts w:ascii="Times New Roman" w:hAnsi="Times New Roman" w:cs="Times New Roman"/>
          <w:sz w:val="20"/>
          <w:szCs w:val="20"/>
        </w:rPr>
      </w:pPr>
      <w:r w:rsidRPr="00A4410A">
        <w:rPr>
          <w:rFonts w:ascii="Times New Roman" w:hAnsi="Times New Roman" w:cs="Times New Roman"/>
          <w:sz w:val="20"/>
          <w:szCs w:val="20"/>
        </w:rPr>
        <w:lastRenderedPageBreak/>
        <w:t>B7.01.7</w:t>
      </w:r>
      <w:r w:rsidRPr="00A4410A">
        <w:rPr>
          <w:rFonts w:ascii="Times New Roman" w:hAnsi="Times New Roman" w:cs="Times New Roman"/>
          <w:b w:val="0"/>
          <w:bCs w:val="0"/>
        </w:rPr>
        <w:t xml:space="preserve"> </w:t>
      </w:r>
      <w:r w:rsidRPr="00A4410A">
        <w:rPr>
          <w:rFonts w:ascii="Times New Roman" w:hAnsi="Times New Roman" w:cs="Times New Roman"/>
          <w:b w:val="0"/>
          <w:bCs w:val="0"/>
        </w:rPr>
        <w:tab/>
      </w:r>
      <w:r w:rsidRPr="00A4410A">
        <w:rPr>
          <w:rFonts w:ascii="Times New Roman" w:hAnsi="Times New Roman" w:cs="Times New Roman"/>
          <w:sz w:val="20"/>
          <w:szCs w:val="20"/>
        </w:rPr>
        <w:t>Carrier Pre Select - Interim Adjustment Billing Arrangement for the period from 01 July 2004.</w:t>
      </w:r>
    </w:p>
    <w:p w14:paraId="12B42193" w14:textId="77777777" w:rsidR="00511D68" w:rsidRPr="00A4410A" w:rsidRDefault="00511D68" w:rsidP="00511D68">
      <w:pPr>
        <w:pStyle w:val="BodyText2"/>
        <w:ind w:left="0"/>
        <w:rPr>
          <w:rFonts w:ascii="Times New Roman" w:hAnsi="Times New Roman" w:cs="Times New Roman"/>
          <w:b/>
          <w:bCs/>
        </w:rPr>
      </w:pPr>
    </w:p>
    <w:p w14:paraId="12B42194" w14:textId="77777777" w:rsidR="00511D68" w:rsidRPr="00A4410A" w:rsidRDefault="00B762DD" w:rsidP="00511D68">
      <w:pPr>
        <w:pStyle w:val="Heading1"/>
        <w:ind w:left="720"/>
        <w:rPr>
          <w:rFonts w:ascii="Times New Roman" w:hAnsi="Times New Roman" w:cs="Times New Roman"/>
          <w:sz w:val="20"/>
          <w:szCs w:val="20"/>
        </w:rPr>
      </w:pPr>
      <w:r w:rsidRPr="00A4410A">
        <w:rPr>
          <w:rFonts w:ascii="Times New Roman" w:hAnsi="Times New Roman" w:cs="Times New Roman"/>
          <w:b w:val="0"/>
          <w:sz w:val="20"/>
          <w:szCs w:val="20"/>
        </w:rPr>
        <w:t>Note 6 -</w:t>
      </w:r>
      <w:r w:rsidRPr="00A4410A">
        <w:rPr>
          <w:rFonts w:ascii="Times New Roman" w:hAnsi="Times New Roman" w:cs="Times New Roman"/>
          <w:sz w:val="20"/>
          <w:szCs w:val="20"/>
        </w:rPr>
        <w:t xml:space="preserve"> </w:t>
      </w:r>
      <w:r w:rsidR="00511D68" w:rsidRPr="00A4410A">
        <w:rPr>
          <w:rFonts w:ascii="Times New Roman" w:hAnsi="Times New Roman" w:cs="Times New Roman"/>
          <w:sz w:val="20"/>
          <w:szCs w:val="20"/>
        </w:rPr>
        <w:t>Purpose.</w:t>
      </w:r>
    </w:p>
    <w:p w14:paraId="12B42195" w14:textId="77777777" w:rsidR="00511D68" w:rsidRPr="00A4410A" w:rsidRDefault="00511D68" w:rsidP="00511D68">
      <w:pPr>
        <w:rPr>
          <w:rFonts w:ascii="Times New Roman" w:hAnsi="Times New Roman" w:cs="Times New Roman"/>
          <w:sz w:val="20"/>
          <w:szCs w:val="20"/>
        </w:rPr>
      </w:pPr>
    </w:p>
    <w:p w14:paraId="12B42196" w14:textId="77777777" w:rsidR="00511D68" w:rsidRPr="00A4410A" w:rsidRDefault="00511D68" w:rsidP="00511D68">
      <w:pPr>
        <w:ind w:left="720" w:hanging="720"/>
        <w:rPr>
          <w:rFonts w:ascii="Times New Roman" w:hAnsi="Times New Roman" w:cs="Times New Roman"/>
          <w:sz w:val="20"/>
          <w:szCs w:val="20"/>
        </w:rPr>
      </w:pPr>
      <w:r w:rsidRPr="00A4410A">
        <w:rPr>
          <w:rFonts w:ascii="Times New Roman" w:hAnsi="Times New Roman" w:cs="Times New Roman"/>
          <w:sz w:val="20"/>
          <w:szCs w:val="20"/>
        </w:rPr>
        <w:t>(a)</w:t>
      </w:r>
      <w:r w:rsidRPr="00A4410A">
        <w:rPr>
          <w:rFonts w:ascii="Times New Roman" w:hAnsi="Times New Roman" w:cs="Times New Roman"/>
          <w:sz w:val="20"/>
          <w:szCs w:val="20"/>
        </w:rPr>
        <w:tab/>
        <w:t>This purpose of this note is to assist those Carrier Pre Select Operators (CPSOs) in understanding any interim adjustment credit notes that a CPSO may receive in connection with BT’s interim adjustment billing arrangement for Carrier Pre Select that will apply in advance of the CPS Local Exchange Calls product being launched. For background information please see Ofcom’s Final Statement on CPS same/adjacent-DLE calls issued: 30 July 2004</w:t>
      </w:r>
    </w:p>
    <w:p w14:paraId="12B42197" w14:textId="77777777" w:rsidR="00511D68" w:rsidRPr="00A4410A" w:rsidRDefault="00511D68" w:rsidP="00511D68">
      <w:pPr>
        <w:rPr>
          <w:rFonts w:ascii="Times New Roman" w:hAnsi="Times New Roman" w:cs="Times New Roman"/>
          <w:b/>
          <w:bCs/>
          <w:sz w:val="20"/>
          <w:szCs w:val="20"/>
        </w:rPr>
      </w:pPr>
    </w:p>
    <w:p w14:paraId="12B42198" w14:textId="77777777" w:rsidR="00511D68" w:rsidRPr="00A4410A" w:rsidRDefault="00511D68" w:rsidP="00511D68">
      <w:pPr>
        <w:pStyle w:val="Heading2"/>
        <w:numPr>
          <w:ilvl w:val="1"/>
          <w:numId w:val="0"/>
        </w:numPr>
        <w:tabs>
          <w:tab w:val="num" w:pos="576"/>
        </w:tabs>
        <w:spacing w:before="120" w:after="160" w:line="240" w:lineRule="atLeast"/>
        <w:ind w:left="576" w:hanging="576"/>
        <w:jc w:val="both"/>
        <w:rPr>
          <w:rFonts w:ascii="Times New Roman" w:hAnsi="Times New Roman" w:cs="Times New Roman"/>
          <w:sz w:val="20"/>
          <w:szCs w:val="20"/>
        </w:rPr>
      </w:pPr>
      <w:r w:rsidRPr="00A4410A">
        <w:rPr>
          <w:rFonts w:ascii="Times New Roman" w:hAnsi="Times New Roman" w:cs="Times New Roman"/>
          <w:sz w:val="20"/>
          <w:szCs w:val="20"/>
        </w:rPr>
        <w:tab/>
      </w:r>
      <w:r w:rsidRPr="00A4410A">
        <w:rPr>
          <w:rFonts w:ascii="Times New Roman" w:hAnsi="Times New Roman" w:cs="Times New Roman"/>
          <w:sz w:val="20"/>
          <w:szCs w:val="20"/>
        </w:rPr>
        <w:tab/>
        <w:t>Interim Adjustment Billing Arrangement.</w:t>
      </w:r>
    </w:p>
    <w:p w14:paraId="12B42199" w14:textId="77777777" w:rsidR="00511D68" w:rsidRPr="00A4410A" w:rsidRDefault="00511D68" w:rsidP="00511D68">
      <w:pPr>
        <w:ind w:left="720" w:hanging="720"/>
        <w:rPr>
          <w:rFonts w:ascii="Times New Roman" w:hAnsi="Times New Roman" w:cs="Times New Roman"/>
          <w:sz w:val="20"/>
          <w:szCs w:val="20"/>
        </w:rPr>
      </w:pPr>
      <w:r w:rsidRPr="00A4410A">
        <w:rPr>
          <w:rFonts w:ascii="Times New Roman" w:hAnsi="Times New Roman" w:cs="Times New Roman"/>
          <w:sz w:val="20"/>
          <w:szCs w:val="20"/>
        </w:rPr>
        <w:t>(b)</w:t>
      </w:r>
      <w:r w:rsidRPr="00A4410A">
        <w:rPr>
          <w:rFonts w:ascii="Times New Roman" w:hAnsi="Times New Roman" w:cs="Times New Roman"/>
          <w:sz w:val="20"/>
          <w:szCs w:val="20"/>
        </w:rPr>
        <w:tab/>
        <w:t xml:space="preserve">All CPSOs will receive BT invoices generated using the applicable conveyance call charges and, for qualifying CPS calls, the CPSO will receive from BT, an interim adjustment credit note. An interim adjustment credit note for the period from 01 July to 31 August 2004 will be sent in September 04 .As appropriate, interim adjustment credit notes will be issued monthly thereafter within 14 days of the BT invoice being sent </w:t>
      </w:r>
    </w:p>
    <w:p w14:paraId="12B4219A" w14:textId="77777777" w:rsidR="00511D68" w:rsidRPr="00A4410A" w:rsidRDefault="00511D68" w:rsidP="00511D68">
      <w:pPr>
        <w:rPr>
          <w:rFonts w:ascii="Times New Roman" w:hAnsi="Times New Roman" w:cs="Times New Roman"/>
          <w:sz w:val="20"/>
          <w:szCs w:val="20"/>
        </w:rPr>
      </w:pPr>
    </w:p>
    <w:p w14:paraId="12B4219B" w14:textId="77777777" w:rsidR="00511D68" w:rsidRPr="00A4410A" w:rsidRDefault="00511D68" w:rsidP="00511D68">
      <w:pPr>
        <w:ind w:left="720" w:hanging="720"/>
        <w:rPr>
          <w:rFonts w:ascii="Times New Roman" w:hAnsi="Times New Roman" w:cs="Times New Roman"/>
          <w:sz w:val="20"/>
          <w:szCs w:val="20"/>
        </w:rPr>
      </w:pPr>
      <w:r w:rsidRPr="00A4410A">
        <w:rPr>
          <w:rFonts w:ascii="Times New Roman" w:hAnsi="Times New Roman" w:cs="Times New Roman"/>
          <w:sz w:val="20"/>
          <w:szCs w:val="20"/>
        </w:rPr>
        <w:t>(c)</w:t>
      </w:r>
      <w:r w:rsidRPr="00A4410A">
        <w:rPr>
          <w:rFonts w:ascii="Times New Roman" w:hAnsi="Times New Roman" w:cs="Times New Roman"/>
          <w:sz w:val="20"/>
          <w:szCs w:val="20"/>
        </w:rPr>
        <w:tab/>
        <w:t>An interim adjustment credit note will be issued in respect of qualifying CPS calls in respect of each CPS code implemented on the BT System for qualifying CPS calls which are handed over by BT to that CPSO for each BTDLE at which CPS calls are routed by BT directly to the Operator System as a CPS Traffic Type.</w:t>
      </w:r>
    </w:p>
    <w:p w14:paraId="12B4219C" w14:textId="77777777" w:rsidR="00511D68" w:rsidRPr="00A4410A" w:rsidRDefault="00511D68" w:rsidP="00511D68">
      <w:pPr>
        <w:rPr>
          <w:rFonts w:ascii="Times New Roman" w:hAnsi="Times New Roman" w:cs="Times New Roman"/>
          <w:sz w:val="20"/>
          <w:szCs w:val="20"/>
        </w:rPr>
      </w:pPr>
    </w:p>
    <w:p w14:paraId="12B4219D" w14:textId="77777777" w:rsidR="00511D68" w:rsidRPr="00A4410A" w:rsidRDefault="00511D68" w:rsidP="00511D68">
      <w:pPr>
        <w:ind w:left="720" w:hanging="720"/>
        <w:rPr>
          <w:rFonts w:ascii="Times New Roman" w:hAnsi="Times New Roman" w:cs="Times New Roman"/>
          <w:sz w:val="20"/>
          <w:szCs w:val="20"/>
        </w:rPr>
      </w:pPr>
      <w:r w:rsidRPr="00A4410A">
        <w:rPr>
          <w:rFonts w:ascii="Times New Roman" w:hAnsi="Times New Roman" w:cs="Times New Roman"/>
          <w:sz w:val="20"/>
          <w:szCs w:val="20"/>
        </w:rPr>
        <w:t>(d)</w:t>
      </w:r>
      <w:r w:rsidRPr="00A4410A">
        <w:rPr>
          <w:rFonts w:ascii="Times New Roman" w:hAnsi="Times New Roman" w:cs="Times New Roman"/>
          <w:sz w:val="20"/>
          <w:szCs w:val="20"/>
        </w:rPr>
        <w:tab/>
        <w:t xml:space="preserve">The interim adjustment credit note will be calculated using items from BT’s regulatory accounts for the qualifying CPS calls (see Access Charge Change Notices 447, 448, 449 and 450 for component charges. </w:t>
      </w:r>
    </w:p>
    <w:p w14:paraId="12B4219E" w14:textId="77777777" w:rsidR="00511D68" w:rsidRPr="00A4410A" w:rsidRDefault="00511D68" w:rsidP="00511D68">
      <w:pPr>
        <w:ind w:left="720"/>
        <w:rPr>
          <w:rFonts w:ascii="Times New Roman" w:hAnsi="Times New Roman" w:cs="Times New Roman"/>
          <w:sz w:val="20"/>
          <w:szCs w:val="20"/>
        </w:rPr>
      </w:pPr>
      <w:r w:rsidRPr="00A4410A">
        <w:rPr>
          <w:rFonts w:ascii="Times New Roman" w:hAnsi="Times New Roman" w:cs="Times New Roman"/>
          <w:sz w:val="20"/>
          <w:szCs w:val="20"/>
        </w:rPr>
        <w:t xml:space="preserve"> </w:t>
      </w:r>
    </w:p>
    <w:p w14:paraId="12B4219F" w14:textId="77777777" w:rsidR="00511D68" w:rsidRPr="00A4410A" w:rsidRDefault="00511D68" w:rsidP="00511D68">
      <w:pPr>
        <w:ind w:left="720" w:hanging="720"/>
        <w:rPr>
          <w:rFonts w:ascii="Times New Roman" w:hAnsi="Times New Roman" w:cs="Times New Roman"/>
          <w:sz w:val="20"/>
          <w:szCs w:val="20"/>
        </w:rPr>
      </w:pPr>
      <w:r w:rsidRPr="00A4410A">
        <w:rPr>
          <w:rFonts w:ascii="Times New Roman" w:hAnsi="Times New Roman" w:cs="Times New Roman"/>
          <w:sz w:val="20"/>
          <w:szCs w:val="20"/>
        </w:rPr>
        <w:t>(e)</w:t>
      </w:r>
      <w:r w:rsidRPr="00A4410A">
        <w:rPr>
          <w:rFonts w:ascii="Times New Roman" w:hAnsi="Times New Roman" w:cs="Times New Roman"/>
          <w:sz w:val="20"/>
          <w:szCs w:val="20"/>
        </w:rPr>
        <w:tab/>
        <w:t>For qualifying CPS calls, on a per BTDLE per CPS code basis, subject to the provisions of paragraphs (g) to (h) below, interim adjustment credit notes (in respect of the Billing Periods after July and August 2004) shall be issued by BT for each Billing Period commencing the Billing Period September 2004.</w:t>
      </w:r>
    </w:p>
    <w:p w14:paraId="12B421A0" w14:textId="77777777" w:rsidR="00511D68" w:rsidRPr="00A4410A" w:rsidRDefault="00511D68" w:rsidP="00511D68">
      <w:pPr>
        <w:ind w:left="360"/>
        <w:rPr>
          <w:rFonts w:ascii="Times New Roman" w:hAnsi="Times New Roman" w:cs="Times New Roman"/>
          <w:sz w:val="20"/>
          <w:szCs w:val="20"/>
        </w:rPr>
      </w:pPr>
    </w:p>
    <w:p w14:paraId="12B421A1" w14:textId="77777777" w:rsidR="00511D68" w:rsidRPr="00A4410A" w:rsidRDefault="00511D68" w:rsidP="00511D68">
      <w:pPr>
        <w:ind w:left="720" w:hanging="720"/>
        <w:rPr>
          <w:rFonts w:ascii="Times New Roman" w:hAnsi="Times New Roman" w:cs="Times New Roman"/>
          <w:sz w:val="20"/>
          <w:szCs w:val="20"/>
        </w:rPr>
      </w:pPr>
      <w:r w:rsidRPr="00A4410A">
        <w:rPr>
          <w:rFonts w:ascii="Times New Roman" w:hAnsi="Times New Roman" w:cs="Times New Roman"/>
          <w:sz w:val="20"/>
          <w:szCs w:val="20"/>
        </w:rPr>
        <w:t>(f)</w:t>
      </w:r>
      <w:r w:rsidRPr="00A4410A">
        <w:rPr>
          <w:rFonts w:ascii="Times New Roman" w:hAnsi="Times New Roman" w:cs="Times New Roman"/>
          <w:sz w:val="20"/>
          <w:szCs w:val="20"/>
        </w:rPr>
        <w:tab/>
        <w:t>BT shall cease to issue interim adjustment credit notes for qualifying CPS calls on a per BTDLE per CPS code basis, if:</w:t>
      </w:r>
    </w:p>
    <w:p w14:paraId="12B421A2" w14:textId="77777777" w:rsidR="00511D68" w:rsidRPr="00A4410A" w:rsidRDefault="00511D68" w:rsidP="00511D68">
      <w:pPr>
        <w:ind w:left="720" w:hanging="720"/>
        <w:rPr>
          <w:rFonts w:ascii="Times New Roman" w:hAnsi="Times New Roman" w:cs="Times New Roman"/>
          <w:sz w:val="20"/>
          <w:szCs w:val="20"/>
        </w:rPr>
      </w:pPr>
    </w:p>
    <w:p w14:paraId="12B421A3" w14:textId="77777777" w:rsidR="00511D68" w:rsidRPr="00A4410A" w:rsidRDefault="00511D68" w:rsidP="00511D68">
      <w:pPr>
        <w:ind w:left="720"/>
        <w:rPr>
          <w:rFonts w:ascii="Times New Roman" w:hAnsi="Times New Roman" w:cs="Times New Roman"/>
          <w:sz w:val="20"/>
          <w:szCs w:val="20"/>
        </w:rPr>
      </w:pPr>
      <w:r w:rsidRPr="00A4410A">
        <w:rPr>
          <w:rFonts w:ascii="Times New Roman" w:hAnsi="Times New Roman" w:cs="Times New Roman"/>
          <w:sz w:val="20"/>
          <w:szCs w:val="20"/>
        </w:rPr>
        <w:t>the CPSO shall have ceased the routing of such CPS calls by BT as a CPS Traffic Type in respect of such BTDLE: or</w:t>
      </w:r>
    </w:p>
    <w:p w14:paraId="12B421A4" w14:textId="77777777" w:rsidR="00511D68" w:rsidRPr="00A4410A" w:rsidRDefault="00511D68" w:rsidP="00511D68">
      <w:pPr>
        <w:ind w:left="720"/>
        <w:rPr>
          <w:rFonts w:ascii="Times New Roman" w:hAnsi="Times New Roman" w:cs="Times New Roman"/>
          <w:sz w:val="20"/>
          <w:szCs w:val="20"/>
        </w:rPr>
      </w:pPr>
    </w:p>
    <w:p w14:paraId="12B421A5" w14:textId="77777777" w:rsidR="00511D68" w:rsidRPr="00A4410A" w:rsidRDefault="00511D68" w:rsidP="00511D68">
      <w:pPr>
        <w:ind w:left="720"/>
        <w:rPr>
          <w:rFonts w:ascii="Times New Roman" w:hAnsi="Times New Roman" w:cs="Times New Roman"/>
          <w:sz w:val="20"/>
          <w:szCs w:val="20"/>
        </w:rPr>
      </w:pPr>
      <w:r w:rsidRPr="00A4410A">
        <w:rPr>
          <w:rFonts w:ascii="Times New Roman" w:hAnsi="Times New Roman" w:cs="Times New Roman"/>
          <w:sz w:val="20"/>
          <w:szCs w:val="20"/>
        </w:rPr>
        <w:t xml:space="preserve"> the CPSO shall have entered into a written agreement with BT for CPS local exchange call product and shall have provided to BT appropriate DMA orders for implementation at the time when BT shall have made the CPS local exchange call product available at that BTDLE in relation to the relevant CPS code, such ceasing of the issuing of interim adjustment credit note  to occur when the CPS local exchange call product shall have been enabled by BT at that BTDLE.</w:t>
      </w:r>
    </w:p>
    <w:p w14:paraId="12B421A6" w14:textId="77777777" w:rsidR="00511D68" w:rsidRPr="00A4410A" w:rsidRDefault="00511D68" w:rsidP="00511D68">
      <w:pPr>
        <w:rPr>
          <w:rFonts w:ascii="Times New Roman" w:hAnsi="Times New Roman" w:cs="Times New Roman"/>
          <w:sz w:val="20"/>
          <w:szCs w:val="20"/>
        </w:rPr>
      </w:pPr>
    </w:p>
    <w:p w14:paraId="12B421A7" w14:textId="77777777" w:rsidR="00511D68" w:rsidRPr="00A4410A" w:rsidRDefault="00511D68" w:rsidP="00511D68">
      <w:pPr>
        <w:ind w:left="720"/>
        <w:rPr>
          <w:rFonts w:ascii="Times New Roman" w:hAnsi="Times New Roman" w:cs="Times New Roman"/>
          <w:sz w:val="20"/>
          <w:szCs w:val="20"/>
        </w:rPr>
      </w:pPr>
      <w:r w:rsidRPr="00A4410A">
        <w:rPr>
          <w:rFonts w:ascii="Times New Roman" w:hAnsi="Times New Roman" w:cs="Times New Roman"/>
          <w:sz w:val="20"/>
          <w:szCs w:val="20"/>
        </w:rPr>
        <w:t>For the avoidance of doubt, insofar as the appropriate DMA orders (for implementation in relation to the relevant CPS code) excludes BTDLEs in respect of which BTDLEs interim adjustment credit notes for qualifying CPS calls shall have been issued by BT,the cessation of the issuing of the  interim adjustment credit notes in respect of all such excluded BTDLEs shall take effect at the end of the Billing Period ending immediately before the Billing Period commencing the quarter in respect of which a new EBC matrix shall have been published by BT</w:t>
      </w:r>
    </w:p>
    <w:p w14:paraId="12B421A8" w14:textId="77777777" w:rsidR="00511D68" w:rsidRPr="00A4410A" w:rsidRDefault="00511D68" w:rsidP="00511D68">
      <w:pPr>
        <w:rPr>
          <w:rFonts w:ascii="Times New Roman" w:hAnsi="Times New Roman" w:cs="Times New Roman"/>
          <w:sz w:val="20"/>
          <w:szCs w:val="20"/>
        </w:rPr>
      </w:pPr>
    </w:p>
    <w:p w14:paraId="12B421A9" w14:textId="77777777" w:rsidR="00511D68" w:rsidRPr="00A4410A" w:rsidRDefault="00511D68" w:rsidP="00511D68">
      <w:pPr>
        <w:ind w:left="720"/>
        <w:rPr>
          <w:rFonts w:ascii="Times New Roman" w:hAnsi="Times New Roman" w:cs="Times New Roman"/>
          <w:sz w:val="20"/>
          <w:szCs w:val="20"/>
        </w:rPr>
      </w:pPr>
      <w:r w:rsidRPr="00A4410A">
        <w:rPr>
          <w:rFonts w:ascii="Times New Roman" w:hAnsi="Times New Roman" w:cs="Times New Roman"/>
          <w:sz w:val="20"/>
          <w:szCs w:val="20"/>
        </w:rPr>
        <w:t xml:space="preserve">For qualifying CPS calls on a per CPS code basis for a CPSO, BT shall cease to issue interim adjustment credit notes in respect of the relevant CPS code if before the date of the enablement of the first BTDLE (in respect of which BTDLE (at which the relevant CPS code shall have been implemented) as between the CPSO and </w:t>
      </w:r>
      <w:r w:rsidRPr="00A4410A">
        <w:rPr>
          <w:rFonts w:ascii="Times New Roman" w:hAnsi="Times New Roman" w:cs="Times New Roman"/>
          <w:sz w:val="20"/>
          <w:szCs w:val="20"/>
        </w:rPr>
        <w:lastRenderedPageBreak/>
        <w:t>BT it shall be the first BTDLE for the relevant CPS code to be enabled by BT for the new CPS Local Exchange Call product (“first BTDLE enablement date”)) the CPSO shall not have entered into a written agreement for the relevant CPS code (to include appropriate DMA orders) with BT for the CPS Local Exchange Call product.</w:t>
      </w:r>
    </w:p>
    <w:p w14:paraId="12B421AA" w14:textId="77777777" w:rsidR="00511D68" w:rsidRPr="00A4410A" w:rsidRDefault="00511D68" w:rsidP="00511D68">
      <w:pPr>
        <w:rPr>
          <w:rFonts w:ascii="Times New Roman" w:hAnsi="Times New Roman" w:cs="Times New Roman"/>
          <w:sz w:val="20"/>
          <w:szCs w:val="20"/>
        </w:rPr>
      </w:pPr>
    </w:p>
    <w:p w14:paraId="12B421AB" w14:textId="77777777" w:rsidR="00511D68" w:rsidRPr="00A4410A" w:rsidRDefault="00511D68" w:rsidP="00511D68">
      <w:pPr>
        <w:ind w:left="720"/>
        <w:rPr>
          <w:rFonts w:ascii="Times New Roman" w:hAnsi="Times New Roman" w:cs="Times New Roman"/>
          <w:sz w:val="20"/>
          <w:szCs w:val="20"/>
        </w:rPr>
      </w:pPr>
      <w:r w:rsidRPr="00A4410A">
        <w:rPr>
          <w:rFonts w:ascii="Times New Roman" w:hAnsi="Times New Roman" w:cs="Times New Roman"/>
          <w:sz w:val="20"/>
          <w:szCs w:val="20"/>
        </w:rPr>
        <w:t xml:space="preserve">The cessation of the issuing of the interim adjustment credit notes on the CPS code basis shall occur in respect of qualifying CPS calls for the relevant CPS codes for each BTDLE at which such CPS calls are routed by BT directly to the CPSO Operator System , such cessation to take effect at the end of the Billing Period ending immediately before the Billing Period commencing the quarter in respect of which a new EBC matrix shall have been published by BT </w:t>
      </w:r>
    </w:p>
    <w:p w14:paraId="12B421AC" w14:textId="77777777" w:rsidR="00511D68" w:rsidRPr="00A4410A" w:rsidRDefault="00511D68" w:rsidP="00511D68">
      <w:pPr>
        <w:rPr>
          <w:rFonts w:ascii="Times New Roman" w:hAnsi="Times New Roman" w:cs="Times New Roman"/>
          <w:sz w:val="20"/>
          <w:szCs w:val="20"/>
        </w:rPr>
      </w:pPr>
    </w:p>
    <w:p w14:paraId="12B421AD" w14:textId="77777777" w:rsidR="00511D68" w:rsidRPr="00A4410A" w:rsidRDefault="00511D68" w:rsidP="00511D68">
      <w:pPr>
        <w:ind w:left="720" w:hanging="720"/>
        <w:rPr>
          <w:rFonts w:ascii="Times New Roman" w:hAnsi="Times New Roman" w:cs="Times New Roman"/>
          <w:sz w:val="20"/>
          <w:szCs w:val="20"/>
        </w:rPr>
      </w:pPr>
      <w:r w:rsidRPr="00A4410A">
        <w:rPr>
          <w:rFonts w:ascii="Times New Roman" w:hAnsi="Times New Roman" w:cs="Times New Roman"/>
          <w:sz w:val="20"/>
          <w:szCs w:val="20"/>
        </w:rPr>
        <w:t>(g)</w:t>
      </w:r>
      <w:r w:rsidRPr="00A4410A">
        <w:rPr>
          <w:rFonts w:ascii="Times New Roman" w:hAnsi="Times New Roman" w:cs="Times New Roman"/>
          <w:sz w:val="20"/>
          <w:szCs w:val="20"/>
        </w:rPr>
        <w:tab/>
        <w:t>For the avoidance of doubt, if a CPSO shall not have entered into a written agreement with BT for the relevant CPS code for the CPS local exchange call product before first BTDLE enablement date, notwithstanding that the CPSO shall have entered into a written agreement with BT for the CPS Local Exchange Call product for the relevant CPS code at any time thereafter, the cessation of the issuing of the interim adjustment credit notes pursuant to the previous paragraph shall nonetheless occur and such CPSO shall have no further entitlement to  interim adjustment credit notes in respect of qualifying CPS calls in respect of the relevant CPS code.</w:t>
      </w:r>
    </w:p>
    <w:p w14:paraId="12B421AE" w14:textId="77777777" w:rsidR="00445CA9" w:rsidRPr="00A4410A" w:rsidRDefault="00445CA9" w:rsidP="000A02B6">
      <w:pPr>
        <w:ind w:left="720" w:hanging="720"/>
        <w:rPr>
          <w:rFonts w:ascii="Times New Roman" w:hAnsi="Times New Roman" w:cs="Times New Roman"/>
          <w:sz w:val="20"/>
          <w:szCs w:val="20"/>
        </w:rPr>
      </w:pPr>
    </w:p>
    <w:p w14:paraId="12B421AF" w14:textId="77777777" w:rsidR="00B762DD" w:rsidRPr="00A4410A" w:rsidRDefault="00B762DD" w:rsidP="00B762DD">
      <w:pPr>
        <w:ind w:left="720" w:hanging="720"/>
        <w:rPr>
          <w:rFonts w:ascii="Times New Roman" w:hAnsi="Times New Roman" w:cs="Times New Roman"/>
          <w:sz w:val="20"/>
          <w:szCs w:val="20"/>
        </w:rPr>
      </w:pPr>
      <w:r w:rsidRPr="00A4410A">
        <w:rPr>
          <w:rFonts w:ascii="Times New Roman" w:hAnsi="Times New Roman" w:cs="Times New Roman"/>
          <w:sz w:val="20"/>
          <w:szCs w:val="20"/>
        </w:rPr>
        <w:t xml:space="preserve">Note 7 – If the call originates on an access line provided by a retail arm of BT, </w:t>
      </w:r>
      <w:r w:rsidR="00CA4589" w:rsidRPr="000A02B6">
        <w:rPr>
          <w:rFonts w:ascii="Times New Roman" w:hAnsi="Times New Roman" w:cs="Times New Roman"/>
          <w:sz w:val="20"/>
          <w:szCs w:val="20"/>
        </w:rPr>
        <w:t xml:space="preserve">refer to Section B7: Carrier Pre-Selection – Non-Regulated and Non-Standard of the Carrier Price List for the </w:t>
      </w:r>
      <w:r w:rsidRPr="000A02B6">
        <w:rPr>
          <w:rFonts w:ascii="Times New Roman" w:hAnsi="Times New Roman" w:cs="Times New Roman"/>
          <w:sz w:val="20"/>
          <w:szCs w:val="20"/>
        </w:rPr>
        <w:t>charge</w:t>
      </w:r>
    </w:p>
    <w:p w14:paraId="12B421B0" w14:textId="77777777" w:rsidR="00B762DD" w:rsidRPr="00A4410A" w:rsidRDefault="00B762DD" w:rsidP="00B762DD">
      <w:pPr>
        <w:ind w:left="720" w:hanging="720"/>
        <w:rPr>
          <w:rFonts w:ascii="Times New Roman" w:hAnsi="Times New Roman" w:cs="Times New Roman"/>
          <w:sz w:val="20"/>
          <w:szCs w:val="20"/>
        </w:rPr>
      </w:pPr>
    </w:p>
    <w:p w14:paraId="12B421B1" w14:textId="77777777" w:rsidR="00445CA9" w:rsidRPr="00A4410A" w:rsidRDefault="00B762DD" w:rsidP="00B762DD">
      <w:pPr>
        <w:ind w:left="720" w:hanging="720"/>
        <w:rPr>
          <w:rFonts w:ascii="Times New Roman" w:hAnsi="Times New Roman" w:cs="Times New Roman"/>
          <w:sz w:val="20"/>
          <w:szCs w:val="20"/>
        </w:rPr>
      </w:pPr>
      <w:r w:rsidRPr="00A4410A">
        <w:rPr>
          <w:rFonts w:ascii="Times New Roman" w:hAnsi="Times New Roman" w:cs="Times New Roman"/>
          <w:sz w:val="20"/>
          <w:szCs w:val="20"/>
        </w:rPr>
        <w:t>Note 8 – If the call originates on any line other than that covered by note 7, the charge set out opposite 8 applies</w:t>
      </w:r>
    </w:p>
    <w:p w14:paraId="12B421B2" w14:textId="77777777" w:rsidR="00445CA9" w:rsidRPr="00A4410A" w:rsidRDefault="00445CA9" w:rsidP="00511D68">
      <w:pPr>
        <w:ind w:left="720" w:hanging="720"/>
        <w:rPr>
          <w:rFonts w:ascii="Times New Roman" w:hAnsi="Times New Roman" w:cs="Times New Roman"/>
          <w:sz w:val="20"/>
          <w:szCs w:val="20"/>
        </w:rPr>
      </w:pPr>
    </w:p>
    <w:p w14:paraId="12B421B3" w14:textId="77777777" w:rsidR="000E40A5" w:rsidRPr="00A4410A" w:rsidRDefault="000E40A5" w:rsidP="00CA4589">
      <w:pPr>
        <w:ind w:left="851" w:hanging="851"/>
        <w:jc w:val="both"/>
        <w:rPr>
          <w:bCs/>
          <w:sz w:val="18"/>
          <w:szCs w:val="18"/>
          <w:lang w:val="en-US"/>
        </w:rPr>
      </w:pPr>
      <w:r w:rsidRPr="00A4410A">
        <w:rPr>
          <w:bCs/>
          <w:sz w:val="18"/>
          <w:szCs w:val="18"/>
          <w:lang w:val="en-US"/>
        </w:rPr>
        <w:t xml:space="preserve">Note 9 – </w:t>
      </w:r>
      <w:r w:rsidR="00CA4589" w:rsidRPr="00A4410A">
        <w:rPr>
          <w:rFonts w:ascii="Times New Roman" w:hAnsi="Times New Roman" w:cs="Times New Roman"/>
          <w:sz w:val="20"/>
          <w:szCs w:val="20"/>
        </w:rPr>
        <w:t xml:space="preserve">If the call originates on an access line provided by a retail arm of </w:t>
      </w:r>
      <w:r w:rsidR="00CA4589" w:rsidRPr="000A02B6">
        <w:rPr>
          <w:bCs/>
          <w:sz w:val="18"/>
          <w:szCs w:val="18"/>
          <w:lang w:val="en-US"/>
        </w:rPr>
        <w:t>BT, refer to Section B7: Carrier Pre-Selection – Non-Regulated and Non-Standard of the Carrier Price List for the charge</w:t>
      </w:r>
    </w:p>
    <w:p w14:paraId="12B421B4" w14:textId="77777777" w:rsidR="000E40A5" w:rsidRPr="00A4410A" w:rsidRDefault="000E40A5" w:rsidP="000E40A5">
      <w:pPr>
        <w:jc w:val="both"/>
        <w:rPr>
          <w:b/>
          <w:bCs/>
          <w:sz w:val="18"/>
          <w:szCs w:val="18"/>
          <w:lang w:val="en-US"/>
        </w:rPr>
      </w:pPr>
    </w:p>
    <w:p w14:paraId="12B421B5" w14:textId="77777777" w:rsidR="00445CA9" w:rsidRPr="00A4410A" w:rsidRDefault="000E40A5" w:rsidP="000E40A5">
      <w:pPr>
        <w:ind w:left="720" w:hanging="720"/>
        <w:rPr>
          <w:rFonts w:ascii="Times New Roman" w:hAnsi="Times New Roman" w:cs="Times New Roman"/>
          <w:sz w:val="20"/>
          <w:szCs w:val="20"/>
        </w:rPr>
      </w:pPr>
      <w:r w:rsidRPr="00A4410A">
        <w:rPr>
          <w:bCs/>
          <w:sz w:val="18"/>
          <w:szCs w:val="18"/>
          <w:lang w:val="en-US"/>
        </w:rPr>
        <w:t>Note 10 – If the call originates on any line other than that covered by note 7, the charge set out opposite 10 applies</w:t>
      </w:r>
    </w:p>
    <w:p w14:paraId="12B421B6" w14:textId="77777777" w:rsidR="00445CA9" w:rsidRPr="00A4410A" w:rsidRDefault="00445CA9" w:rsidP="00511D68">
      <w:pPr>
        <w:ind w:left="720" w:hanging="720"/>
        <w:rPr>
          <w:rFonts w:ascii="Times New Roman" w:hAnsi="Times New Roman" w:cs="Times New Roman"/>
          <w:sz w:val="20"/>
          <w:szCs w:val="20"/>
        </w:rPr>
      </w:pPr>
    </w:p>
    <w:p w14:paraId="12B421B7" w14:textId="77777777" w:rsidR="00445CA9" w:rsidRPr="00A4410A" w:rsidRDefault="00445CA9" w:rsidP="00511D68">
      <w:pPr>
        <w:ind w:left="720" w:hanging="720"/>
        <w:rPr>
          <w:rFonts w:ascii="Times New Roman" w:hAnsi="Times New Roman" w:cs="Times New Roman"/>
          <w:sz w:val="20"/>
          <w:szCs w:val="20"/>
        </w:rPr>
      </w:pPr>
    </w:p>
    <w:p w14:paraId="12B421B8" w14:textId="77777777" w:rsidR="00445CA9" w:rsidRPr="00A4410A" w:rsidRDefault="00445CA9" w:rsidP="00511D68">
      <w:pPr>
        <w:ind w:left="720" w:hanging="720"/>
        <w:rPr>
          <w:rFonts w:ascii="Times New Roman" w:hAnsi="Times New Roman" w:cs="Times New Roman"/>
          <w:sz w:val="20"/>
          <w:szCs w:val="20"/>
        </w:rPr>
      </w:pPr>
    </w:p>
    <w:p w14:paraId="12B421B9" w14:textId="77777777" w:rsidR="00511D68" w:rsidRPr="00A4410A" w:rsidRDefault="00511D68" w:rsidP="00511D68">
      <w:pPr>
        <w:ind w:left="720" w:hanging="720"/>
        <w:rPr>
          <w:rFonts w:ascii="Times New Roman" w:hAnsi="Times New Roman" w:cs="Times New Roman"/>
          <w:sz w:val="20"/>
          <w:szCs w:val="20"/>
        </w:rPr>
      </w:pPr>
      <w:r w:rsidRPr="00A4410A">
        <w:rPr>
          <w:rFonts w:ascii="Times New Roman" w:hAnsi="Times New Roman" w:cs="Times New Roman"/>
          <w:sz w:val="20"/>
          <w:szCs w:val="20"/>
        </w:rPr>
        <w:t xml:space="preserve"> </w:t>
      </w:r>
    </w:p>
    <w:p w14:paraId="12B421BA" w14:textId="77777777" w:rsidR="00511D68" w:rsidRPr="00A4410A" w:rsidRDefault="00511D68" w:rsidP="00511D68">
      <w:pPr>
        <w:rPr>
          <w:rFonts w:ascii="Times New Roman" w:hAnsi="Times New Roman" w:cs="Times New Roman"/>
          <w:sz w:val="20"/>
          <w:szCs w:val="20"/>
        </w:rPr>
      </w:pPr>
    </w:p>
    <w:p w14:paraId="12B421BB" w14:textId="77777777" w:rsidR="006A5EC5" w:rsidRDefault="00511D68" w:rsidP="00511D68">
      <w:pPr>
        <w:rPr>
          <w:rFonts w:ascii="Times New Roman" w:hAnsi="Times New Roman" w:cs="Times New Roman"/>
          <w:sz w:val="20"/>
          <w:szCs w:val="20"/>
        </w:rPr>
      </w:pPr>
      <w:r w:rsidRPr="00A4410A">
        <w:rPr>
          <w:rFonts w:ascii="Times New Roman" w:hAnsi="Times New Roman" w:cs="Times New Roman"/>
          <w:color w:val="000000"/>
        </w:rPr>
        <w:t xml:space="preserve">For any enquiries concerning this CPL section, please contact </w:t>
      </w:r>
      <w:hyperlink r:id="rId15" w:history="1">
        <w:r w:rsidR="0074558C" w:rsidRPr="008F7C59">
          <w:rPr>
            <w:rStyle w:val="Hyperlink"/>
            <w:rFonts w:ascii="Times New Roman" w:hAnsi="Times New Roman"/>
          </w:rPr>
          <w:t>btcs.pricing@bt.com</w:t>
        </w:r>
      </w:hyperlink>
      <w:r w:rsidR="0074558C">
        <w:rPr>
          <w:rFonts w:ascii="Times New Roman" w:hAnsi="Times New Roman" w:cs="Times New Roman"/>
          <w:color w:val="000000"/>
        </w:rPr>
        <w:t xml:space="preserve"> </w:t>
      </w:r>
    </w:p>
    <w:sectPr w:rsidR="006A5EC5" w:rsidSect="00EA7C54">
      <w:headerReference w:type="default" r:id="rId16"/>
      <w:footerReference w:type="default" r:id="rId17"/>
      <w:pgSz w:w="16834" w:h="11909" w:orient="landscape" w:code="9"/>
      <w:pgMar w:top="1440" w:right="1440" w:bottom="1440" w:left="1440" w:header="706" w:footer="706" w:gutter="0"/>
      <w:paperSrc w:first="1"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BD05" w14:textId="77777777" w:rsidR="00860478" w:rsidRDefault="00860478">
      <w:r>
        <w:separator/>
      </w:r>
    </w:p>
  </w:endnote>
  <w:endnote w:type="continuationSeparator" w:id="0">
    <w:p w14:paraId="722CD366" w14:textId="77777777" w:rsidR="00860478" w:rsidRDefault="0086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21CA" w14:textId="3F28D51B" w:rsidR="006B2125" w:rsidRDefault="006B2125">
    <w:pPr>
      <w:pStyle w:val="Footer"/>
      <w:rPr>
        <w:rStyle w:val="PageNumber"/>
        <w:rFonts w:ascii="Times New Roman" w:hAnsi="Times New Roman"/>
        <w:sz w:val="18"/>
        <w:szCs w:val="18"/>
      </w:rPr>
    </w:pPr>
    <w:r>
      <w:rPr>
        <w:rFonts w:ascii="Times New Roman" w:hAnsi="Times New Roman" w:cs="Times New Roman"/>
        <w:sz w:val="18"/>
        <w:szCs w:val="18"/>
      </w:rPr>
      <w:t xml:space="preserve">Issue Date: </w:t>
    </w:r>
    <w:r w:rsidR="00D517B5">
      <w:rPr>
        <w:rFonts w:ascii="Times New Roman" w:hAnsi="Times New Roman" w:cs="Times New Roman"/>
        <w:sz w:val="18"/>
        <w:szCs w:val="18"/>
      </w:rPr>
      <w:t>0</w:t>
    </w:r>
    <w:r w:rsidR="00026153">
      <w:rPr>
        <w:rFonts w:ascii="Times New Roman" w:hAnsi="Times New Roman" w:cs="Times New Roman"/>
        <w:sz w:val="18"/>
        <w:szCs w:val="18"/>
      </w:rPr>
      <w:t>4</w:t>
    </w:r>
    <w:r w:rsidR="008035ED">
      <w:rPr>
        <w:rFonts w:ascii="Times New Roman" w:hAnsi="Times New Roman" w:cs="Times New Roman"/>
        <w:sz w:val="18"/>
        <w:szCs w:val="18"/>
      </w:rPr>
      <w:t>/</w:t>
    </w:r>
    <w:r w:rsidR="001838C8">
      <w:rPr>
        <w:rFonts w:ascii="Times New Roman" w:hAnsi="Times New Roman" w:cs="Times New Roman"/>
        <w:sz w:val="18"/>
        <w:szCs w:val="18"/>
      </w:rPr>
      <w:t>0</w:t>
    </w:r>
    <w:r w:rsidR="00026153">
      <w:rPr>
        <w:rFonts w:ascii="Times New Roman" w:hAnsi="Times New Roman" w:cs="Times New Roman"/>
        <w:sz w:val="18"/>
        <w:szCs w:val="18"/>
      </w:rPr>
      <w:t>8</w:t>
    </w:r>
    <w:r w:rsidR="008035ED">
      <w:rPr>
        <w:rFonts w:ascii="Times New Roman" w:hAnsi="Times New Roman" w:cs="Times New Roman"/>
        <w:sz w:val="18"/>
        <w:szCs w:val="18"/>
      </w:rPr>
      <w:t>/20</w:t>
    </w:r>
    <w:r w:rsidR="002213B2">
      <w:rPr>
        <w:rFonts w:ascii="Times New Roman" w:hAnsi="Times New Roman" w:cs="Times New Roman"/>
        <w:sz w:val="18"/>
        <w:szCs w:val="18"/>
      </w:rPr>
      <w:t>2</w:t>
    </w:r>
    <w:r w:rsidR="00583BED">
      <w:rPr>
        <w:rFonts w:ascii="Times New Roman" w:hAnsi="Times New Roman" w:cs="Times New Roman"/>
        <w:sz w:val="18"/>
        <w:szCs w:val="18"/>
      </w:rPr>
      <w:t>3</w:t>
    </w:r>
    <w:r>
      <w:rPr>
        <w:rFonts w:ascii="Times New Roman" w:hAnsi="Times New Roman" w:cs="Times New Roman"/>
        <w:sz w:val="18"/>
        <w:szCs w:val="18"/>
      </w:rPr>
      <w:tab/>
    </w:r>
    <w:r>
      <w:rPr>
        <w:rFonts w:ascii="Times New Roman" w:hAnsi="Times New Roman" w:cs="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CB721B">
      <w:rPr>
        <w:rStyle w:val="PageNumber"/>
        <w:rFonts w:ascii="Times New Roman" w:hAnsi="Times New Roman"/>
        <w:noProof/>
        <w:sz w:val="18"/>
        <w:szCs w:val="18"/>
      </w:rPr>
      <w:t>3</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NUMPAGES </w:instrText>
    </w:r>
    <w:r>
      <w:rPr>
        <w:rStyle w:val="PageNumber"/>
        <w:rFonts w:ascii="Times New Roman" w:hAnsi="Times New Roman"/>
        <w:sz w:val="18"/>
        <w:szCs w:val="18"/>
      </w:rPr>
      <w:fldChar w:fldCharType="separate"/>
    </w:r>
    <w:r w:rsidR="00CB721B">
      <w:rPr>
        <w:rStyle w:val="PageNumber"/>
        <w:rFonts w:ascii="Times New Roman" w:hAnsi="Times New Roman"/>
        <w:noProof/>
        <w:sz w:val="18"/>
        <w:szCs w:val="18"/>
      </w:rPr>
      <w:t>3</w:t>
    </w:r>
    <w:r>
      <w:rPr>
        <w:rStyle w:val="PageNumber"/>
        <w:rFonts w:ascii="Times New Roman" w:hAnsi="Times New Roman"/>
        <w:sz w:val="18"/>
        <w:szCs w:val="18"/>
      </w:rPr>
      <w:fldChar w:fldCharType="end"/>
    </w:r>
  </w:p>
  <w:p w14:paraId="12B421CB" w14:textId="5D3E2CEF" w:rsidR="006B2125" w:rsidRDefault="00C8020C">
    <w:pPr>
      <w:pStyle w:val="Footer"/>
      <w:rPr>
        <w:rFonts w:ascii="Times New Roman" w:hAnsi="Times New Roman" w:cs="Times New Roman"/>
        <w:sz w:val="18"/>
        <w:szCs w:val="18"/>
      </w:rPr>
    </w:pPr>
    <w:r>
      <w:rPr>
        <w:rStyle w:val="PageNumber"/>
        <w:rFonts w:ascii="Times New Roman" w:hAnsi="Times New Roman"/>
        <w:sz w:val="18"/>
        <w:szCs w:val="18"/>
      </w:rPr>
      <w:t xml:space="preserve">Issue No </w:t>
    </w:r>
    <w:r w:rsidR="00026153">
      <w:rPr>
        <w:rStyle w:val="PageNumber"/>
        <w:rFonts w:ascii="Times New Roman" w:hAnsi="Times New Roman"/>
        <w:sz w:val="18"/>
        <w:szCs w:val="18"/>
      </w:rPr>
      <w:t>5</w:t>
    </w:r>
    <w:r>
      <w:rPr>
        <w:rStyle w:val="PageNumber"/>
        <w:rFonts w:ascii="Times New Roman" w:hAnsi="Times New Roman"/>
        <w:sz w:val="18"/>
        <w:szCs w:val="18"/>
      </w:rPr>
      <w:t>.</w:t>
    </w:r>
    <w:r w:rsidR="006B2125">
      <w:rPr>
        <w:rStyle w:val="PageNumber"/>
        <w:rFonts w:ascii="Times New Roman" w:hAnsi="Times New Roman"/>
        <w:sz w:val="18"/>
        <w:szCs w:val="18"/>
      </w:rPr>
      <w:tab/>
      <w:t>©</w:t>
    </w:r>
    <w:r w:rsidR="006B2125">
      <w:rPr>
        <w:rFonts w:ascii="Times New Roman" w:hAnsi="Times New Roman" w:cs="Times New Roman"/>
        <w:sz w:val="18"/>
        <w:szCs w:val="18"/>
      </w:rPr>
      <w:t>British Telecommunications plc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65A7" w14:textId="77777777" w:rsidR="00860478" w:rsidRDefault="00860478">
      <w:r>
        <w:separator/>
      </w:r>
    </w:p>
  </w:footnote>
  <w:footnote w:type="continuationSeparator" w:id="0">
    <w:p w14:paraId="6D523B14" w14:textId="77777777" w:rsidR="00860478" w:rsidRDefault="0086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268"/>
      <w:gridCol w:w="7371"/>
    </w:tblGrid>
    <w:tr w:rsidR="006B2125" w14:paraId="12B421C2" w14:textId="77777777">
      <w:trPr>
        <w:cantSplit/>
        <w:jc w:val="center"/>
      </w:trPr>
      <w:tc>
        <w:tcPr>
          <w:tcW w:w="2268" w:type="dxa"/>
          <w:tcBorders>
            <w:top w:val="nil"/>
            <w:left w:val="nil"/>
            <w:bottom w:val="nil"/>
            <w:right w:val="nil"/>
          </w:tcBorders>
        </w:tcPr>
        <w:p w14:paraId="12B421C0" w14:textId="77777777" w:rsidR="006B2125" w:rsidRDefault="006B2125" w:rsidP="003B499F">
          <w:pPr>
            <w:pStyle w:val="Header"/>
            <w:rPr>
              <w:rFonts w:ascii="Times New Roman" w:hAnsi="Times New Roman" w:cs="Times New Roman"/>
              <w:b/>
              <w:bCs/>
              <w:sz w:val="18"/>
              <w:szCs w:val="18"/>
            </w:rPr>
          </w:pPr>
          <w:r>
            <w:rPr>
              <w:rFonts w:ascii="Times New Roman" w:hAnsi="Times New Roman" w:cs="Times New Roman"/>
              <w:b/>
              <w:bCs/>
              <w:sz w:val="18"/>
              <w:szCs w:val="18"/>
            </w:rPr>
            <w:t>CARRIER PRICE LIST</w:t>
          </w:r>
        </w:p>
      </w:tc>
      <w:tc>
        <w:tcPr>
          <w:tcW w:w="7371" w:type="dxa"/>
          <w:tcBorders>
            <w:top w:val="nil"/>
            <w:left w:val="nil"/>
            <w:bottom w:val="nil"/>
            <w:right w:val="nil"/>
          </w:tcBorders>
        </w:tcPr>
        <w:p w14:paraId="12B421C1" w14:textId="00BFA29A" w:rsidR="006B2125" w:rsidRDefault="00CB396C" w:rsidP="00861524">
          <w:pPr>
            <w:pStyle w:val="Header"/>
            <w:jc w:val="right"/>
            <w:rPr>
              <w:rFonts w:ascii="Times New Roman" w:hAnsi="Times New Roman" w:cs="Times New Roman"/>
              <w:b/>
              <w:bCs/>
              <w:sz w:val="18"/>
              <w:szCs w:val="18"/>
            </w:rPr>
          </w:pPr>
          <w:r>
            <w:rPr>
              <w:rFonts w:ascii="Times New Roman" w:hAnsi="Times New Roman" w:cs="Times New Roman"/>
              <w:b/>
              <w:bCs/>
              <w:sz w:val="18"/>
              <w:szCs w:val="18"/>
            </w:rPr>
            <w:t xml:space="preserve">1 </w:t>
          </w:r>
          <w:r w:rsidR="00E11CFA">
            <w:rPr>
              <w:rFonts w:ascii="Times New Roman" w:hAnsi="Times New Roman" w:cs="Times New Roman"/>
              <w:b/>
              <w:bCs/>
              <w:sz w:val="18"/>
              <w:szCs w:val="18"/>
            </w:rPr>
            <w:t>October</w:t>
          </w:r>
          <w:r w:rsidR="00361C5F">
            <w:rPr>
              <w:rFonts w:ascii="Times New Roman" w:hAnsi="Times New Roman" w:cs="Times New Roman"/>
              <w:b/>
              <w:bCs/>
              <w:sz w:val="18"/>
              <w:szCs w:val="18"/>
            </w:rPr>
            <w:t xml:space="preserve"> </w:t>
          </w:r>
          <w:r w:rsidR="001838C8">
            <w:rPr>
              <w:rFonts w:ascii="Times New Roman" w:hAnsi="Times New Roman" w:cs="Times New Roman"/>
              <w:b/>
              <w:bCs/>
              <w:sz w:val="18"/>
              <w:szCs w:val="18"/>
            </w:rPr>
            <w:t>20</w:t>
          </w:r>
          <w:r w:rsidR="002213B2">
            <w:rPr>
              <w:rFonts w:ascii="Times New Roman" w:hAnsi="Times New Roman" w:cs="Times New Roman"/>
              <w:b/>
              <w:bCs/>
              <w:sz w:val="18"/>
              <w:szCs w:val="18"/>
            </w:rPr>
            <w:t>2</w:t>
          </w:r>
          <w:r w:rsidR="00923467">
            <w:rPr>
              <w:rFonts w:ascii="Times New Roman" w:hAnsi="Times New Roman" w:cs="Times New Roman"/>
              <w:b/>
              <w:bCs/>
              <w:sz w:val="18"/>
              <w:szCs w:val="18"/>
            </w:rPr>
            <w:t>3</w:t>
          </w:r>
        </w:p>
      </w:tc>
    </w:tr>
    <w:tr w:rsidR="006B2125" w14:paraId="12B421C5" w14:textId="77777777">
      <w:trPr>
        <w:cantSplit/>
        <w:jc w:val="center"/>
      </w:trPr>
      <w:tc>
        <w:tcPr>
          <w:tcW w:w="2268" w:type="dxa"/>
          <w:tcBorders>
            <w:top w:val="nil"/>
            <w:left w:val="nil"/>
            <w:bottom w:val="nil"/>
            <w:right w:val="nil"/>
          </w:tcBorders>
        </w:tcPr>
        <w:p w14:paraId="12B421C3" w14:textId="77777777" w:rsidR="006B2125" w:rsidRDefault="006B2125" w:rsidP="003B499F">
          <w:pPr>
            <w:pStyle w:val="Header"/>
            <w:rPr>
              <w:rFonts w:ascii="Times New Roman" w:hAnsi="Times New Roman" w:cs="Times New Roman"/>
              <w:b/>
              <w:bCs/>
              <w:sz w:val="18"/>
              <w:szCs w:val="18"/>
            </w:rPr>
          </w:pPr>
          <w:r>
            <w:rPr>
              <w:rFonts w:ascii="Times New Roman" w:hAnsi="Times New Roman" w:cs="Times New Roman"/>
              <w:b/>
              <w:bCs/>
              <w:sz w:val="18"/>
              <w:szCs w:val="18"/>
            </w:rPr>
            <w:t>Section B7</w:t>
          </w:r>
        </w:p>
      </w:tc>
      <w:tc>
        <w:tcPr>
          <w:tcW w:w="7371" w:type="dxa"/>
          <w:tcBorders>
            <w:top w:val="nil"/>
            <w:left w:val="nil"/>
            <w:bottom w:val="nil"/>
            <w:right w:val="nil"/>
          </w:tcBorders>
        </w:tcPr>
        <w:p w14:paraId="12B421C4" w14:textId="77777777" w:rsidR="006B2125" w:rsidRDefault="006B2125">
          <w:pPr>
            <w:pStyle w:val="Header"/>
            <w:jc w:val="center"/>
            <w:rPr>
              <w:rFonts w:ascii="Times New Roman" w:hAnsi="Times New Roman" w:cs="Times New Roman"/>
              <w:b/>
              <w:bCs/>
              <w:sz w:val="18"/>
              <w:szCs w:val="18"/>
            </w:rPr>
          </w:pPr>
          <w:r>
            <w:rPr>
              <w:rFonts w:ascii="Times New Roman" w:hAnsi="Times New Roman" w:cs="Times New Roman"/>
              <w:b/>
              <w:bCs/>
              <w:sz w:val="18"/>
              <w:szCs w:val="18"/>
            </w:rPr>
            <w:t>Carrier Pre-Selection</w:t>
          </w:r>
        </w:p>
      </w:tc>
    </w:tr>
    <w:tr w:rsidR="006B2125" w14:paraId="12B421C8" w14:textId="77777777">
      <w:trPr>
        <w:cantSplit/>
        <w:jc w:val="center"/>
      </w:trPr>
      <w:tc>
        <w:tcPr>
          <w:tcW w:w="2268" w:type="dxa"/>
          <w:tcBorders>
            <w:top w:val="nil"/>
            <w:left w:val="nil"/>
            <w:bottom w:val="single" w:sz="12" w:space="0" w:color="auto"/>
            <w:right w:val="nil"/>
          </w:tcBorders>
        </w:tcPr>
        <w:p w14:paraId="12B421C6" w14:textId="77777777" w:rsidR="006B2125" w:rsidRDefault="006B2125" w:rsidP="003B499F">
          <w:pPr>
            <w:pStyle w:val="Header"/>
            <w:rPr>
              <w:rFonts w:ascii="Times New Roman" w:hAnsi="Times New Roman" w:cs="Times New Roman"/>
              <w:b/>
              <w:bCs/>
              <w:sz w:val="18"/>
              <w:szCs w:val="18"/>
            </w:rPr>
          </w:pPr>
          <w:r>
            <w:rPr>
              <w:rFonts w:ascii="Times New Roman" w:hAnsi="Times New Roman" w:cs="Times New Roman"/>
              <w:b/>
              <w:bCs/>
              <w:sz w:val="18"/>
              <w:szCs w:val="18"/>
            </w:rPr>
            <w:t>PART 7.01</w:t>
          </w:r>
        </w:p>
      </w:tc>
      <w:tc>
        <w:tcPr>
          <w:tcW w:w="7371" w:type="dxa"/>
          <w:tcBorders>
            <w:top w:val="nil"/>
            <w:left w:val="nil"/>
            <w:bottom w:val="single" w:sz="12" w:space="0" w:color="auto"/>
            <w:right w:val="nil"/>
          </w:tcBorders>
        </w:tcPr>
        <w:p w14:paraId="12B421C7" w14:textId="77777777" w:rsidR="006B2125" w:rsidRDefault="006B2125">
          <w:pPr>
            <w:pStyle w:val="Header"/>
            <w:jc w:val="center"/>
            <w:rPr>
              <w:rFonts w:ascii="Times New Roman" w:hAnsi="Times New Roman" w:cs="Times New Roman"/>
              <w:b/>
              <w:bCs/>
              <w:i/>
              <w:iCs/>
              <w:sz w:val="18"/>
              <w:szCs w:val="18"/>
            </w:rPr>
          </w:pPr>
          <w:r>
            <w:rPr>
              <w:rFonts w:ascii="Times New Roman" w:hAnsi="Times New Roman" w:cs="Times New Roman"/>
              <w:b/>
              <w:bCs/>
              <w:sz w:val="18"/>
              <w:szCs w:val="18"/>
            </w:rPr>
            <w:t>Permanent Carrier Pre-Selection</w:t>
          </w:r>
        </w:p>
      </w:tc>
    </w:tr>
  </w:tbl>
  <w:p w14:paraId="12B421C9" w14:textId="77777777" w:rsidR="006B2125" w:rsidRDefault="006B212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668F7"/>
    <w:multiLevelType w:val="hybridMultilevel"/>
    <w:tmpl w:val="618E1350"/>
    <w:lvl w:ilvl="0" w:tplc="1D70B60C">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25535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B6"/>
    <w:rsid w:val="00000A1D"/>
    <w:rsid w:val="000100EF"/>
    <w:rsid w:val="000241DE"/>
    <w:rsid w:val="00026153"/>
    <w:rsid w:val="000412C1"/>
    <w:rsid w:val="00047013"/>
    <w:rsid w:val="00050B45"/>
    <w:rsid w:val="00086FF5"/>
    <w:rsid w:val="00093308"/>
    <w:rsid w:val="000A02B6"/>
    <w:rsid w:val="000C1001"/>
    <w:rsid w:val="000D0C6A"/>
    <w:rsid w:val="000D4941"/>
    <w:rsid w:val="000E2E1E"/>
    <w:rsid w:val="000E40A5"/>
    <w:rsid w:val="00125DAD"/>
    <w:rsid w:val="001564FD"/>
    <w:rsid w:val="00160D18"/>
    <w:rsid w:val="001718B6"/>
    <w:rsid w:val="001838C8"/>
    <w:rsid w:val="0019353F"/>
    <w:rsid w:val="001A3A55"/>
    <w:rsid w:val="001B38ED"/>
    <w:rsid w:val="001D2E26"/>
    <w:rsid w:val="001D5A0C"/>
    <w:rsid w:val="001E549A"/>
    <w:rsid w:val="001E6494"/>
    <w:rsid w:val="001F7189"/>
    <w:rsid w:val="00201898"/>
    <w:rsid w:val="00207DB2"/>
    <w:rsid w:val="002120EB"/>
    <w:rsid w:val="002213B2"/>
    <w:rsid w:val="00222121"/>
    <w:rsid w:val="00254C77"/>
    <w:rsid w:val="00254F8D"/>
    <w:rsid w:val="00260E39"/>
    <w:rsid w:val="0026357F"/>
    <w:rsid w:val="0027350F"/>
    <w:rsid w:val="00276732"/>
    <w:rsid w:val="00285500"/>
    <w:rsid w:val="002A5D68"/>
    <w:rsid w:val="002B50FD"/>
    <w:rsid w:val="002B67C3"/>
    <w:rsid w:val="002C2A5C"/>
    <w:rsid w:val="002D28BA"/>
    <w:rsid w:val="0031788C"/>
    <w:rsid w:val="00321656"/>
    <w:rsid w:val="00325F58"/>
    <w:rsid w:val="003349F5"/>
    <w:rsid w:val="00335163"/>
    <w:rsid w:val="003443EF"/>
    <w:rsid w:val="00361C5F"/>
    <w:rsid w:val="00375B17"/>
    <w:rsid w:val="00395EF4"/>
    <w:rsid w:val="003A4868"/>
    <w:rsid w:val="003B499F"/>
    <w:rsid w:val="00405670"/>
    <w:rsid w:val="00415636"/>
    <w:rsid w:val="00416B93"/>
    <w:rsid w:val="00424363"/>
    <w:rsid w:val="00430680"/>
    <w:rsid w:val="00430DFE"/>
    <w:rsid w:val="00436A84"/>
    <w:rsid w:val="00445CA9"/>
    <w:rsid w:val="00456F88"/>
    <w:rsid w:val="00466522"/>
    <w:rsid w:val="00490205"/>
    <w:rsid w:val="00494CB8"/>
    <w:rsid w:val="004B2742"/>
    <w:rsid w:val="004E3F82"/>
    <w:rsid w:val="004E5FFA"/>
    <w:rsid w:val="00501498"/>
    <w:rsid w:val="00505BD1"/>
    <w:rsid w:val="0051027F"/>
    <w:rsid w:val="00511D68"/>
    <w:rsid w:val="005260B9"/>
    <w:rsid w:val="005262F5"/>
    <w:rsid w:val="0057336C"/>
    <w:rsid w:val="00580F7D"/>
    <w:rsid w:val="00583BED"/>
    <w:rsid w:val="005B38DD"/>
    <w:rsid w:val="005B50FF"/>
    <w:rsid w:val="005C234E"/>
    <w:rsid w:val="005C46F5"/>
    <w:rsid w:val="005C76FC"/>
    <w:rsid w:val="00627770"/>
    <w:rsid w:val="0063677C"/>
    <w:rsid w:val="006534B0"/>
    <w:rsid w:val="00665168"/>
    <w:rsid w:val="006669AF"/>
    <w:rsid w:val="00691F9F"/>
    <w:rsid w:val="006A5EC5"/>
    <w:rsid w:val="006B2125"/>
    <w:rsid w:val="006C22B1"/>
    <w:rsid w:val="006C4EB2"/>
    <w:rsid w:val="006C6C14"/>
    <w:rsid w:val="00705752"/>
    <w:rsid w:val="00706175"/>
    <w:rsid w:val="00712321"/>
    <w:rsid w:val="00713219"/>
    <w:rsid w:val="00740BE2"/>
    <w:rsid w:val="0074558C"/>
    <w:rsid w:val="0074672A"/>
    <w:rsid w:val="0075727A"/>
    <w:rsid w:val="00761AB2"/>
    <w:rsid w:val="007751F0"/>
    <w:rsid w:val="00787325"/>
    <w:rsid w:val="007954FD"/>
    <w:rsid w:val="007C4D9A"/>
    <w:rsid w:val="007C63D8"/>
    <w:rsid w:val="007E77F3"/>
    <w:rsid w:val="007F0EBC"/>
    <w:rsid w:val="00801D09"/>
    <w:rsid w:val="008035ED"/>
    <w:rsid w:val="0084195B"/>
    <w:rsid w:val="00847EB7"/>
    <w:rsid w:val="00860478"/>
    <w:rsid w:val="00861524"/>
    <w:rsid w:val="00876017"/>
    <w:rsid w:val="00892946"/>
    <w:rsid w:val="00895F19"/>
    <w:rsid w:val="008A45FD"/>
    <w:rsid w:val="008B34DA"/>
    <w:rsid w:val="008C484E"/>
    <w:rsid w:val="008C6D51"/>
    <w:rsid w:val="008D5CA2"/>
    <w:rsid w:val="008E774C"/>
    <w:rsid w:val="00902C80"/>
    <w:rsid w:val="00907DCE"/>
    <w:rsid w:val="00923062"/>
    <w:rsid w:val="00923467"/>
    <w:rsid w:val="009275A9"/>
    <w:rsid w:val="00953FD1"/>
    <w:rsid w:val="0097080E"/>
    <w:rsid w:val="009A38B3"/>
    <w:rsid w:val="009C3844"/>
    <w:rsid w:val="009D52EF"/>
    <w:rsid w:val="009E0BD5"/>
    <w:rsid w:val="009E568D"/>
    <w:rsid w:val="009E618E"/>
    <w:rsid w:val="009F3400"/>
    <w:rsid w:val="009F376F"/>
    <w:rsid w:val="00A0025C"/>
    <w:rsid w:val="00A06F10"/>
    <w:rsid w:val="00A4410A"/>
    <w:rsid w:val="00A70B0F"/>
    <w:rsid w:val="00A773D7"/>
    <w:rsid w:val="00AE11CD"/>
    <w:rsid w:val="00AF4525"/>
    <w:rsid w:val="00AF6D44"/>
    <w:rsid w:val="00B15676"/>
    <w:rsid w:val="00B156C4"/>
    <w:rsid w:val="00B35948"/>
    <w:rsid w:val="00B403B2"/>
    <w:rsid w:val="00B554C8"/>
    <w:rsid w:val="00B60560"/>
    <w:rsid w:val="00B6071E"/>
    <w:rsid w:val="00B64F86"/>
    <w:rsid w:val="00B762DD"/>
    <w:rsid w:val="00B8787A"/>
    <w:rsid w:val="00BA29BA"/>
    <w:rsid w:val="00BC1463"/>
    <w:rsid w:val="00BC54EB"/>
    <w:rsid w:val="00C063A9"/>
    <w:rsid w:val="00C14840"/>
    <w:rsid w:val="00C44A90"/>
    <w:rsid w:val="00C522F0"/>
    <w:rsid w:val="00C619E1"/>
    <w:rsid w:val="00C717B0"/>
    <w:rsid w:val="00C8020C"/>
    <w:rsid w:val="00C82350"/>
    <w:rsid w:val="00C83B70"/>
    <w:rsid w:val="00C93817"/>
    <w:rsid w:val="00C97511"/>
    <w:rsid w:val="00CA0189"/>
    <w:rsid w:val="00CA448E"/>
    <w:rsid w:val="00CA4589"/>
    <w:rsid w:val="00CB396C"/>
    <w:rsid w:val="00CB721B"/>
    <w:rsid w:val="00CC1C97"/>
    <w:rsid w:val="00CC65CA"/>
    <w:rsid w:val="00CE02ED"/>
    <w:rsid w:val="00CF2464"/>
    <w:rsid w:val="00D2756C"/>
    <w:rsid w:val="00D517B5"/>
    <w:rsid w:val="00D64095"/>
    <w:rsid w:val="00D65587"/>
    <w:rsid w:val="00D7729C"/>
    <w:rsid w:val="00D82EBB"/>
    <w:rsid w:val="00D84365"/>
    <w:rsid w:val="00D91341"/>
    <w:rsid w:val="00D97B70"/>
    <w:rsid w:val="00DB0CD2"/>
    <w:rsid w:val="00DB799E"/>
    <w:rsid w:val="00DD1459"/>
    <w:rsid w:val="00E00BEE"/>
    <w:rsid w:val="00E10E93"/>
    <w:rsid w:val="00E11CFA"/>
    <w:rsid w:val="00E16D31"/>
    <w:rsid w:val="00E23104"/>
    <w:rsid w:val="00E243CF"/>
    <w:rsid w:val="00E43AF9"/>
    <w:rsid w:val="00E65DCA"/>
    <w:rsid w:val="00EA7C54"/>
    <w:rsid w:val="00EB2A27"/>
    <w:rsid w:val="00EC5D52"/>
    <w:rsid w:val="00ED5C72"/>
    <w:rsid w:val="00EF662C"/>
    <w:rsid w:val="00F10B0F"/>
    <w:rsid w:val="00F40837"/>
    <w:rsid w:val="00F40BFC"/>
    <w:rsid w:val="00F461F3"/>
    <w:rsid w:val="00F51379"/>
    <w:rsid w:val="00F558CE"/>
    <w:rsid w:val="00F56299"/>
    <w:rsid w:val="00F56C55"/>
    <w:rsid w:val="00F63089"/>
    <w:rsid w:val="00F73AE2"/>
    <w:rsid w:val="00F8500B"/>
    <w:rsid w:val="00FA730E"/>
    <w:rsid w:val="00FB096A"/>
    <w:rsid w:val="00FD78F4"/>
    <w:rsid w:val="00FE411E"/>
    <w:rsid w:val="00FF2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42132"/>
  <w14:defaultImageDpi w14:val="0"/>
  <w15:chartTrackingRefBased/>
  <w15:docId w15:val="{93345000-71C9-4FAE-8735-0DC5F3AD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Century Schoolbook" w:hAnsi="Century Schoolbook" w:cs="Century Schoolbook"/>
      <w:sz w:val="24"/>
      <w:szCs w:val="24"/>
      <w:lang w:val="en-AU"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ind w:left="720" w:firstLine="720"/>
      <w:outlineLvl w:val="2"/>
    </w:pPr>
    <w:rPr>
      <w:b/>
      <w:bCs/>
      <w:sz w:val="28"/>
      <w:szCs w:val="28"/>
    </w:rPr>
  </w:style>
  <w:style w:type="paragraph" w:styleId="Heading4">
    <w:name w:val="heading 4"/>
    <w:basedOn w:val="Normal"/>
    <w:next w:val="Normal"/>
    <w:link w:val="Heading4Char"/>
    <w:uiPriority w:val="99"/>
    <w:qFormat/>
    <w:pPr>
      <w:keepNext/>
      <w:jc w:val="both"/>
      <w:outlineLvl w:val="3"/>
    </w:pPr>
    <w:rPr>
      <w:sz w:val="20"/>
      <w:szCs w:val="20"/>
      <w:u w:val="single"/>
    </w:rPr>
  </w:style>
  <w:style w:type="paragraph" w:styleId="Heading5">
    <w:name w:val="heading 5"/>
    <w:basedOn w:val="Normal"/>
    <w:next w:val="Normal"/>
    <w:link w:val="Heading5Char"/>
    <w:uiPriority w:val="99"/>
    <w:qFormat/>
    <w:pPr>
      <w:keepNext/>
      <w:jc w:val="center"/>
      <w:outlineLvl w:val="4"/>
    </w:pPr>
    <w:rPr>
      <w:b/>
      <w:bCs/>
      <w:sz w:val="20"/>
      <w:szCs w:val="20"/>
    </w:rPr>
  </w:style>
  <w:style w:type="paragraph" w:styleId="Heading6">
    <w:name w:val="heading 6"/>
    <w:basedOn w:val="Normal"/>
    <w:next w:val="Normal"/>
    <w:link w:val="Heading6Char"/>
    <w:uiPriority w:val="99"/>
    <w:qFormat/>
    <w:pPr>
      <w:keepNext/>
      <w:jc w:val="both"/>
      <w:outlineLvl w:val="5"/>
    </w:pPr>
    <w:rPr>
      <w:i/>
      <w:iCs/>
      <w:color w:val="FF0000"/>
      <w:sz w:val="18"/>
      <w:szCs w:val="18"/>
    </w:rPr>
  </w:style>
  <w:style w:type="paragraph" w:styleId="Heading7">
    <w:name w:val="heading 7"/>
    <w:basedOn w:val="Normal"/>
    <w:next w:val="Normal"/>
    <w:link w:val="Heading7Char"/>
    <w:uiPriority w:val="99"/>
    <w:qFormat/>
    <w:pPr>
      <w:keepNext/>
      <w:jc w:val="center"/>
      <w:outlineLvl w:val="6"/>
    </w:pPr>
    <w:rPr>
      <w:b/>
      <w:bCs/>
    </w:rPr>
  </w:style>
  <w:style w:type="paragraph" w:styleId="Heading8">
    <w:name w:val="heading 8"/>
    <w:basedOn w:val="Normal"/>
    <w:next w:val="Normal"/>
    <w:link w:val="Heading8Char"/>
    <w:uiPriority w:val="99"/>
    <w:qFormat/>
    <w:pPr>
      <w:keepNext/>
      <w:jc w:val="center"/>
      <w:outlineLvl w:val="7"/>
    </w:pPr>
    <w:rPr>
      <w:b/>
      <w:bCs/>
      <w:sz w:val="18"/>
      <w:szCs w:val="18"/>
    </w:rPr>
  </w:style>
  <w:style w:type="paragraph" w:styleId="Heading9">
    <w:name w:val="heading 9"/>
    <w:basedOn w:val="Normal"/>
    <w:next w:val="Normal"/>
    <w:link w:val="Heading9Char"/>
    <w:uiPriority w:val="99"/>
    <w:qFormat/>
    <w:pPr>
      <w:keepNext/>
      <w:jc w:val="center"/>
      <w:outlineLvl w:val="8"/>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AU"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AU"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AU"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AU"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en-AU" w:eastAsia="en-US"/>
    </w:rPr>
  </w:style>
  <w:style w:type="character" w:customStyle="1" w:styleId="Heading6Char">
    <w:name w:val="Heading 6 Char"/>
    <w:link w:val="Heading6"/>
    <w:uiPriority w:val="9"/>
    <w:semiHidden/>
    <w:locked/>
    <w:rPr>
      <w:rFonts w:ascii="Calibri" w:eastAsia="Times New Roman" w:hAnsi="Calibri" w:cs="Times New Roman"/>
      <w:b/>
      <w:bCs/>
      <w:lang w:val="en-AU"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en-AU"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en-AU" w:eastAsia="en-US"/>
    </w:rPr>
  </w:style>
  <w:style w:type="character" w:customStyle="1" w:styleId="Heading9Char">
    <w:name w:val="Heading 9 Char"/>
    <w:link w:val="Heading9"/>
    <w:uiPriority w:val="9"/>
    <w:semiHidden/>
    <w:locked/>
    <w:rPr>
      <w:rFonts w:ascii="Cambria" w:eastAsia="Times New Roman" w:hAnsi="Cambria" w:cs="Times New Roman"/>
      <w:lang w:val="en-AU" w:eastAsia="en-US"/>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Century Schoolbook" w:hAnsi="Century Schoolbook" w:cs="Century Schoolbook"/>
      <w:sz w:val="24"/>
      <w:szCs w:val="24"/>
      <w:lang w:val="en-AU"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Century Schoolbook" w:hAnsi="Century Schoolbook" w:cs="Century Schoolbook"/>
      <w:sz w:val="24"/>
      <w:szCs w:val="24"/>
      <w:lang w:val="en-AU" w:eastAsia="en-US"/>
    </w:rPr>
  </w:style>
  <w:style w:type="paragraph" w:styleId="BodyText2">
    <w:name w:val="Body Text 2"/>
    <w:basedOn w:val="Normal"/>
    <w:link w:val="BodyText2Char"/>
    <w:uiPriority w:val="99"/>
    <w:pPr>
      <w:ind w:left="1440"/>
      <w:jc w:val="both"/>
    </w:pPr>
    <w:rPr>
      <w:sz w:val="20"/>
      <w:szCs w:val="20"/>
    </w:rPr>
  </w:style>
  <w:style w:type="character" w:customStyle="1" w:styleId="BodyText2Char">
    <w:name w:val="Body Text 2 Char"/>
    <w:link w:val="BodyText2"/>
    <w:uiPriority w:val="99"/>
    <w:semiHidden/>
    <w:locked/>
    <w:rPr>
      <w:rFonts w:ascii="Century Schoolbook" w:hAnsi="Century Schoolbook" w:cs="Century Schoolbook"/>
      <w:sz w:val="24"/>
      <w:szCs w:val="24"/>
      <w:lang w:val="en-AU" w:eastAsia="en-US"/>
    </w:rPr>
  </w:style>
  <w:style w:type="paragraph" w:customStyle="1" w:styleId="Para0-2">
    <w:name w:val="Para0-2"/>
    <w:basedOn w:val="Normal"/>
    <w:uiPriority w:val="99"/>
    <w:pPr>
      <w:ind w:left="1134" w:hanging="1134"/>
      <w:jc w:val="both"/>
    </w:pPr>
    <w:rPr>
      <w:lang w:val="en-GB"/>
    </w:rPr>
  </w:style>
  <w:style w:type="paragraph" w:styleId="BodyTextIndent2">
    <w:name w:val="Body Text Indent 2"/>
    <w:basedOn w:val="Normal"/>
    <w:link w:val="BodyTextIndent2Char"/>
    <w:uiPriority w:val="99"/>
    <w:pPr>
      <w:ind w:left="4320" w:hanging="2880"/>
    </w:pPr>
    <w:rPr>
      <w:b/>
      <w:bCs/>
    </w:rPr>
  </w:style>
  <w:style w:type="character" w:customStyle="1" w:styleId="BodyTextIndent2Char">
    <w:name w:val="Body Text Indent 2 Char"/>
    <w:link w:val="BodyTextIndent2"/>
    <w:uiPriority w:val="99"/>
    <w:semiHidden/>
    <w:locked/>
    <w:rPr>
      <w:rFonts w:ascii="Century Schoolbook" w:hAnsi="Century Schoolbook" w:cs="Century Schoolbook"/>
      <w:sz w:val="24"/>
      <w:szCs w:val="24"/>
      <w:lang w:val="en-AU" w:eastAsia="en-US"/>
    </w:rPr>
  </w:style>
  <w:style w:type="paragraph" w:styleId="NormalIndent">
    <w:name w:val="Normal Indent"/>
    <w:basedOn w:val="Normal"/>
    <w:uiPriority w:val="99"/>
    <w:pPr>
      <w:ind w:left="720"/>
    </w:pPr>
    <w:rPr>
      <w:sz w:val="20"/>
      <w:szCs w:val="20"/>
      <w:lang w:val="en-GB"/>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Century Schoolbook" w:hAnsi="Century Schoolbook" w:cs="Century Schoolbook"/>
      <w:sz w:val="20"/>
      <w:szCs w:val="20"/>
      <w:lang w:val="en-AU" w:eastAsia="en-US"/>
    </w:rPr>
  </w:style>
  <w:style w:type="character" w:styleId="FootnoteReference">
    <w:name w:val="footnote reference"/>
    <w:uiPriority w:val="99"/>
    <w:semiHidden/>
    <w:rPr>
      <w:rFonts w:cs="Times New Roman"/>
      <w:vertAlign w:val="superscript"/>
    </w:rPr>
  </w:style>
  <w:style w:type="paragraph" w:styleId="BodyText">
    <w:name w:val="Body Text"/>
    <w:basedOn w:val="Normal"/>
    <w:link w:val="BodyTextChar"/>
    <w:uiPriority w:val="99"/>
    <w:pPr>
      <w:spacing w:before="120" w:after="120"/>
      <w:jc w:val="both"/>
    </w:pPr>
    <w:rPr>
      <w:sz w:val="20"/>
      <w:szCs w:val="20"/>
    </w:rPr>
  </w:style>
  <w:style w:type="character" w:customStyle="1" w:styleId="BodyTextChar">
    <w:name w:val="Body Text Char"/>
    <w:link w:val="BodyText"/>
    <w:uiPriority w:val="99"/>
    <w:semiHidden/>
    <w:locked/>
    <w:rPr>
      <w:rFonts w:ascii="Century Schoolbook" w:hAnsi="Century Schoolbook" w:cs="Century Schoolbook"/>
      <w:sz w:val="24"/>
      <w:szCs w:val="24"/>
      <w:lang w:val="en-AU" w:eastAsia="en-US"/>
    </w:rPr>
  </w:style>
  <w:style w:type="character" w:styleId="Hyperlink">
    <w:name w:val="Hyperlink"/>
    <w:uiPriority w:val="99"/>
    <w:rsid w:val="008035ED"/>
    <w:rPr>
      <w:rFonts w:cs="Times New Roman"/>
      <w:color w:val="0000FF"/>
      <w:u w:val="single"/>
    </w:rPr>
  </w:style>
  <w:style w:type="paragraph" w:styleId="BalloonText">
    <w:name w:val="Balloon Text"/>
    <w:basedOn w:val="Normal"/>
    <w:link w:val="BalloonTextChar"/>
    <w:uiPriority w:val="99"/>
    <w:semiHidden/>
    <w:rsid w:val="0057336C"/>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643">
      <w:bodyDiv w:val="1"/>
      <w:marLeft w:val="0"/>
      <w:marRight w:val="0"/>
      <w:marTop w:val="0"/>
      <w:marBottom w:val="0"/>
      <w:divBdr>
        <w:top w:val="none" w:sz="0" w:space="0" w:color="auto"/>
        <w:left w:val="none" w:sz="0" w:space="0" w:color="auto"/>
        <w:bottom w:val="none" w:sz="0" w:space="0" w:color="auto"/>
        <w:right w:val="none" w:sz="0" w:space="0" w:color="auto"/>
      </w:divBdr>
    </w:div>
    <w:div w:id="5920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btcs.pricing@bt.com"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4.xml><?xml version="1.0" encoding="utf-8"?>
<LongProperties xmlns="http://schemas.microsoft.com/office/2006/metadata/long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
        <AccountId xsi:nil="true"/>
        <AccountType/>
      </UserInfo>
    </BT_x0020_Document_x0020_Owner>
    <BT_x0020_Data_x0020_Classification xmlns="e0e35bac-e255-4a69-af54-5f01336af94f">Public</BT_x0020_Data_x0020_Classification>
    <TaxCatchAll xmlns="e0e35bac-e255-4a69-af54-5f01336af94f"/>
    <_dlc_DocId xmlns="e0e35bac-e255-4a69-af54-5f01336af94f">Y3TMTP5N2VXD-8-30762</_dlc_DocId>
    <_dlc_DocIdUrl xmlns="e0e35bac-e255-4a69-af54-5f01336af94f">
      <Url>https://office.bt.com/sites/contractcentral/_layouts/DocIdRedir.aspx?ID=Y3TMTP5N2VXD-8-30762</Url>
      <Description>Y3TMTP5N2VXD-8-30762</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A36E4F6BE39DC34288FB9784F4D6186F" ma:contentTypeVersion="8" ma:contentTypeDescription="Default item with a two year maximum retention period." ma:contentTypeScope="" ma:versionID="b97ef56328008f3a9b2c2be629ad2541">
  <xsd:schema xmlns:xsd="http://www.w3.org/2001/XMLSchema" xmlns:xs="http://www.w3.org/2001/XMLSchema" xmlns:p="http://schemas.microsoft.com/office/2006/metadata/properties" xmlns:ns2="e0e35bac-e255-4a69-af54-5f01336af94f" targetNamespace="http://schemas.microsoft.com/office/2006/metadata/properties" ma:root="true" ma:fieldsID="abf83b94dbbe2c2795f640969eb26b15"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20c57f4-365c-4ba7-a62b-b360ea752ca7}" ma:internalName="TaxCatchAll" ma:showField="CatchAllData" ma:web="e80eac21-16f7-4182-88ba-e93386f64c1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20c57f4-365c-4ba7-a62b-b360ea752ca7}" ma:internalName="TaxCatchAllLabel" ma:readOnly="true" ma:showField="CatchAllDataLabel" ma:web="e80eac21-16f7-4182-88ba-e93386f64c1a">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333CC-6C50-437B-A933-8E3CC41A8D85}">
  <ds:schemaRefs>
    <ds:schemaRef ds:uri="http://schemas.openxmlformats.org/officeDocument/2006/bibliography"/>
  </ds:schemaRefs>
</ds:datastoreItem>
</file>

<file path=customXml/itemProps2.xml><?xml version="1.0" encoding="utf-8"?>
<ds:datastoreItem xmlns:ds="http://schemas.openxmlformats.org/officeDocument/2006/customXml" ds:itemID="{DF740346-2792-408D-80D8-2D95B11149BC}">
  <ds:schemaRefs>
    <ds:schemaRef ds:uri="http://schemas.microsoft.com/sharepoint/v3/contenttype/forms"/>
  </ds:schemaRefs>
</ds:datastoreItem>
</file>

<file path=customXml/itemProps3.xml><?xml version="1.0" encoding="utf-8"?>
<ds:datastoreItem xmlns:ds="http://schemas.openxmlformats.org/officeDocument/2006/customXml" ds:itemID="{11CA8A55-226F-4DCF-B0E8-4295E1170F7D}">
  <ds:schemaRefs>
    <ds:schemaRef ds:uri="Microsoft.SharePoint.Taxonomy.ContentTypeSync"/>
  </ds:schemaRefs>
</ds:datastoreItem>
</file>

<file path=customXml/itemProps4.xml><?xml version="1.0" encoding="utf-8"?>
<ds:datastoreItem xmlns:ds="http://schemas.openxmlformats.org/officeDocument/2006/customXml" ds:itemID="{28C8469D-9892-4CA1-BA90-333271F2504F}">
  <ds:schemaRefs>
    <ds:schemaRef ds:uri="http://schemas.microsoft.com/office/2006/metadata/longProperties"/>
  </ds:schemaRefs>
</ds:datastoreItem>
</file>

<file path=customXml/itemProps5.xml><?xml version="1.0" encoding="utf-8"?>
<ds:datastoreItem xmlns:ds="http://schemas.openxmlformats.org/officeDocument/2006/customXml" ds:itemID="{EB00A378-2DF9-4343-BD17-C6E7F45F80A3}">
  <ds:schemaRefs>
    <ds:schemaRef ds:uri="http://schemas.microsoft.com/office/2006/metadata/customXsn"/>
  </ds:schemaRefs>
</ds:datastoreItem>
</file>

<file path=customXml/itemProps6.xml><?xml version="1.0" encoding="utf-8"?>
<ds:datastoreItem xmlns:ds="http://schemas.openxmlformats.org/officeDocument/2006/customXml" ds:itemID="{2BB105DD-928F-41D1-B6F7-B1A753F8E99C}">
  <ds:schemaRefs>
    <ds:schemaRef ds:uri="http://schemas.microsoft.com/sharepoint/events"/>
  </ds:schemaRefs>
</ds:datastoreItem>
</file>

<file path=customXml/itemProps7.xml><?xml version="1.0" encoding="utf-8"?>
<ds:datastoreItem xmlns:ds="http://schemas.openxmlformats.org/officeDocument/2006/customXml" ds:itemID="{773AB874-FE62-4244-A0D0-03402E5DFF7B}">
  <ds:schemaRefs>
    <ds:schemaRef ds:uri="http://schemas.microsoft.com/office/2006/metadata/properties"/>
    <ds:schemaRef ds:uri="http://schemas.microsoft.com/office/infopath/2007/PartnerControls"/>
    <ds:schemaRef ds:uri="e0e35bac-e255-4a69-af54-5f01336af94f"/>
  </ds:schemaRefs>
</ds:datastoreItem>
</file>

<file path=customXml/itemProps8.xml><?xml version="1.0" encoding="utf-8"?>
<ds:datastoreItem xmlns:ds="http://schemas.openxmlformats.org/officeDocument/2006/customXml" ds:itemID="{343C4E83-B704-424F-82CE-0D948D02E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35bac-e255-4a69-af54-5f01336af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NETWORK CHARGE CHANGE NOTICE</vt:lpstr>
    </vt:vector>
  </TitlesOfParts>
  <Company>BT</Company>
  <LinksUpToDate>false</LinksUpToDate>
  <CharactersWithSpaces>6624</CharactersWithSpaces>
  <SharedDoc>false</SharedDoc>
  <HLinks>
    <vt:vector size="6" baseType="variant">
      <vt:variant>
        <vt:i4>8192027</vt:i4>
      </vt:variant>
      <vt:variant>
        <vt:i4>0</vt:i4>
      </vt:variant>
      <vt:variant>
        <vt:i4>0</vt:i4>
      </vt:variant>
      <vt:variant>
        <vt:i4>5</vt:i4>
      </vt:variant>
      <vt:variant>
        <vt:lpwstr>mailto:robert.carbis@bt.com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CHARGE CHANGE NOTICE</dc:title>
  <dc:subject/>
  <dc:creator>BT</dc:creator>
  <cp:keywords/>
  <cp:lastModifiedBy>Thompson,ZAC,Zack,NUP R</cp:lastModifiedBy>
  <cp:revision>33</cp:revision>
  <dcterms:created xsi:type="dcterms:W3CDTF">2022-01-24T11:16:00Z</dcterms:created>
  <dcterms:modified xsi:type="dcterms:W3CDTF">2023-07-25T10:58:00Z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0x0101005EEE68971716474CABDF87371185FDEC00EC6EA5ED20A94112869E9D0DC08914F400A36E4F6BE39DC34288FB9784F4D6186F</vt:lpwstr>
  </property>
  <property fmtid="{D5CDD505-2E9C-101B-9397-08002B2CF9AE}" pid="3" name="_dlc_DocIdItemGuid">
    <vt:lpwstr>c4dfb681-cf62-4ca7-ba5f-b1f0b165293e</vt:lpwstr>
  </property>
  <property fmtid="{D5CDD505-2E9C-101B-9397-08002B2CF9AE}" pid="4" name="_dlc_DocId">
    <vt:lpwstr>FXKM3USVKQV5-12-213847</vt:lpwstr>
  </property>
  <property fmtid="{D5CDD505-2E9C-101B-9397-08002B2CF9AE}" pid="5" name="_dlc_DocIdUrl">
    <vt:lpwstr>https://office.bt.com/sites/btwholesaleproducts/_layouts/DocIdRedir.aspx?ID=FXKM3USVKQV5-12-213847, FXKM3USVKQV5-12-213847</vt:lpwstr>
  </property>
  <property fmtid="{D5CDD505-2E9C-101B-9397-08002B2CF9AE}" pid="6" name="MSIP_Label_55818d02-8d25-4bb9-b27c-e4db64670887_Enabled">
    <vt:lpwstr>true</vt:lpwstr>
  </property>
  <property fmtid="{D5CDD505-2E9C-101B-9397-08002B2CF9AE}" pid="7" name="MSIP_Label_55818d02-8d25-4bb9-b27c-e4db64670887_SetDate">
    <vt:lpwstr>2022-01-24T11:14:51Z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30f04407-bf47-4e77-af04-d5b8da23b7a9</vt:lpwstr>
  </property>
  <property fmtid="{D5CDD505-2E9C-101B-9397-08002B2CF9AE}" pid="12" name="MSIP_Label_55818d02-8d25-4bb9-b27c-e4db64670887_ContentBits">
    <vt:lpwstr>0</vt:lpwstr>
  </property>
</Properties>
</file>